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FF6EB3">
        <w:rPr>
          <w:b/>
          <w:spacing w:val="-17"/>
        </w:rPr>
        <w:t>u</w:t>
      </w:r>
      <w:r w:rsidRPr="00295FBD">
        <w:rPr>
          <w:b/>
          <w:spacing w:val="-17"/>
        </w:rPr>
        <w:t>l. Dworcowa 1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>dres wykonawcy</w:t>
      </w:r>
      <w:r w:rsidR="00416F0A">
        <w:tab/>
        <w:t>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:rsidR="00416F0A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(słownie……………………………………..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(słownie……………………………………...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………………………………………złotych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>
        <w:t xml:space="preserve"> od </w:t>
      </w:r>
      <w:r w:rsidR="00A8559A">
        <w:t>01.10.2018 r.</w:t>
      </w:r>
      <w:r>
        <w:t xml:space="preserve"> do </w:t>
      </w:r>
      <w:r w:rsidR="00003859">
        <w:t>12</w:t>
      </w:r>
      <w:r>
        <w:t>.</w:t>
      </w:r>
      <w:r w:rsidR="00003859">
        <w:t>10</w:t>
      </w:r>
      <w:r>
        <w:t>.2018 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</w:pPr>
      <w:r>
        <w:t>Oświadczam, że zapoznałem się z opisem przedmiotu zamówienia określonym w zapytaniu ofertowym numer RWA.UE.271.</w:t>
      </w:r>
      <w:r w:rsidR="0086127E">
        <w:t>1</w:t>
      </w:r>
      <w:r w:rsidR="00BE59FD">
        <w:t>4</w:t>
      </w:r>
      <w:r>
        <w:t>.2018.MP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F96F36" w:rsidRDefault="00F96F36">
      <w:pPr>
        <w:suppressAutoHyphens w:val="0"/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51"/>
        <w:gridCol w:w="529"/>
        <w:gridCol w:w="4196"/>
        <w:gridCol w:w="265"/>
        <w:gridCol w:w="2421"/>
      </w:tblGrid>
      <w:tr w:rsidR="00FF6EB3" w:rsidRPr="00A72205" w:rsidTr="0018160F">
        <w:trPr>
          <w:trHeight w:val="284"/>
        </w:trPr>
        <w:tc>
          <w:tcPr>
            <w:tcW w:w="5000" w:type="pct"/>
            <w:gridSpan w:val="5"/>
          </w:tcPr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  <w:bookmarkStart w:id="0" w:name="_Hlk520709213"/>
            <w:r w:rsidRPr="00A72205"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lastRenderedPageBreak/>
              <w:t xml:space="preserve">Komputer przenośny (1 szt.) 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Wskazać nazwę producenta, model oraz symbol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……………………</w:t>
            </w:r>
            <w:r w:rsidR="00BE59FD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 xml:space="preserve">                                       CENA:</w:t>
            </w:r>
          </w:p>
          <w:p w:rsidR="00FF6EB3" w:rsidRPr="00A72205" w:rsidRDefault="00FF6EB3" w:rsidP="0018160F">
            <w:pPr>
              <w:autoSpaceDE w:val="0"/>
              <w:autoSpaceDN w:val="0"/>
              <w:ind w:right="-71"/>
              <w:rPr>
                <w:rFonts w:asciiTheme="majorHAnsi" w:hAnsiTheme="majorHAnsi" w:cstheme="majorHAnsi"/>
                <w:bCs/>
                <w:sz w:val="18"/>
                <w:lang w:val="en-US" w:eastAsia="pl-PL"/>
              </w:rPr>
            </w:pPr>
          </w:p>
        </w:tc>
      </w:tr>
      <w:bookmarkEnd w:id="0"/>
      <w:tr w:rsidR="00FF6EB3" w:rsidRPr="00A72205" w:rsidTr="00FF6EB3">
        <w:trPr>
          <w:trHeight w:val="240"/>
        </w:trPr>
        <w:tc>
          <w:tcPr>
            <w:tcW w:w="1203" w:type="pct"/>
            <w:gridSpan w:val="2"/>
            <w:vAlign w:val="center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lang w:eastAsia="pl-PL"/>
              </w:rPr>
              <w:t>Nazwa komponentu</w:t>
            </w:r>
          </w:p>
        </w:tc>
        <w:tc>
          <w:tcPr>
            <w:tcW w:w="2461" w:type="pct"/>
            <w:gridSpan w:val="2"/>
            <w:vAlign w:val="center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lang w:eastAsia="pl-PL"/>
              </w:rPr>
              <w:t xml:space="preserve">Wymagane minimalne parametry techniczne 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ind w:right="-71"/>
              <w:rPr>
                <w:rFonts w:asciiTheme="majorHAnsi" w:hAnsiTheme="majorHAnsi" w:cstheme="majorHAnsi"/>
                <w:b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lang w:eastAsia="pl-PL"/>
              </w:rPr>
              <w:t xml:space="preserve">Oferowane parametry techniczne, funkcjonalne, </w:t>
            </w: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Typ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Komputer przenośny typu notebook z ekranem co najmniej 1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5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,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6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" z podświetleniem w technologii LED, rozdzielczość  1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920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x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1080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Wydajność obliczeniowa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Procesor w oferowanej konfiguracji musi osiągać w testach wydajności https://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www.cpubenchmark.net/ minimum 6838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punktów</w:t>
            </w:r>
          </w:p>
          <w:p w:rsidR="00FF6EB3" w:rsidRPr="00A72205" w:rsidRDefault="00FF6EB3" w:rsidP="0018160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Dokumentem potwierdzającym spełnianie ww. wymagań będzie dołączony do oferty wydruk raportu potwierdzony za zgodność z oryginałem przez Wykonawcę.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Pamięć operacyjna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Minimum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8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GB z możliwością rozszerzenia do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32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GB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Parametry pamięci masowej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Minimum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120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GB SSD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lub 1000GB HDD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Karta graficzna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https://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www.cpubenchmark.net/ minimum 4583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punktów obsługująca funkcje: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br/>
              <w:t>• DX10.1 oraz  DirectX* 11 on DirectX* 10 hardware,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• OGL 3.0,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• </w:t>
            </w:r>
            <w:proofErr w:type="spellStart"/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Shader</w:t>
            </w:r>
            <w:proofErr w:type="spellEnd"/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Model 4.1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Wyposażenie multimedialne, dodatkowe oprogramowanie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Karta dźwiękowa zgodna z High Definition Audio, wbudowane głośniki stereo, 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Karta sieciowa - 10/100/1000 – RJ 45,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Wbudowana karta sieciowa, pracująca w standardzie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a/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b/g/n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ac</w:t>
            </w:r>
            <w:proofErr w:type="spellEnd"/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,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Wbudowany moduł Bluetooth 4.0,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Porty/złącza -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2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xUSB 3.0 (z możliwością ładowania urządzeń zewnętrznych poprzez port USB przy wyłączonym komputerze),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1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xUSB2.0, złącze </w:t>
            </w:r>
            <w:proofErr w:type="spellStart"/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combo</w:t>
            </w:r>
            <w:proofErr w:type="spellEnd"/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słuchawki/mikrofon, </w:t>
            </w:r>
          </w:p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sz w:val="18"/>
                <w:lang w:eastAsia="pl-PL"/>
              </w:rPr>
              <w:t>Port HDMI, czytnik kart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Wymagania dotyczące baterii/zasilania  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Bateria pozwalająca na nieprzerwaną pracę urządzenia do </w:t>
            </w:r>
            <w:r>
              <w:rPr>
                <w:rFonts w:asciiTheme="majorHAnsi" w:hAnsiTheme="majorHAnsi" w:cstheme="majorHAnsi"/>
                <w:bCs/>
                <w:sz w:val="18"/>
                <w:lang w:eastAsia="pl-PL"/>
              </w:rPr>
              <w:t>4</w:t>
            </w: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 xml:space="preserve"> godzin. 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1203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  <w:r w:rsidRPr="00A72205">
              <w:rPr>
                <w:rFonts w:asciiTheme="majorHAnsi" w:hAnsiTheme="majorHAnsi" w:cstheme="majorHAnsi"/>
                <w:bCs/>
                <w:sz w:val="18"/>
                <w:lang w:eastAsia="pl-PL"/>
              </w:rPr>
              <w:t>System operacyjny</w:t>
            </w:r>
          </w:p>
        </w:tc>
        <w:tc>
          <w:tcPr>
            <w:tcW w:w="2461" w:type="pct"/>
            <w:gridSpan w:val="2"/>
          </w:tcPr>
          <w:p w:rsidR="00FF6EB3" w:rsidRPr="00A72205" w:rsidRDefault="00FF6EB3" w:rsidP="0018160F">
            <w:pPr>
              <w:autoSpaceDE w:val="0"/>
              <w:autoSpaceDN w:val="0"/>
              <w:spacing w:before="60" w:after="100" w:afterAutospacing="1"/>
              <w:rPr>
                <w:rFonts w:asciiTheme="majorHAnsi" w:eastAsia="Calibri" w:hAnsiTheme="majorHAnsi" w:cstheme="majorHAnsi"/>
                <w:sz w:val="18"/>
              </w:rPr>
            </w:pPr>
            <w:r w:rsidRPr="00A72205">
              <w:rPr>
                <w:rFonts w:asciiTheme="majorHAnsi" w:eastAsia="Calibri" w:hAnsiTheme="majorHAnsi" w:cstheme="majorHAnsi"/>
                <w:sz w:val="18"/>
              </w:rPr>
              <w:t xml:space="preserve">Zainstalowany system operacyjny – wskazać nazwę oprogramowania - musi spełniać następujące wymagania, poprzez wbudowane mechanizmy, bez użycia dodatkowych aplikacji: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dokonywania aktualizacji i poprawek systemu przez Internet z możliwością wyboru instalowanych poprawek;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dokonywania uaktualnień sterowników urządzeń przez Internet – witrynę producenta systemu;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Darmowe aktualizacje w ramach wersji systemu operacyjnego przez Internet (niezbędne aktualizacje, poprawki, biuletyny bezpieczeństwa muszą być dostarczane bez dodatkowych opłat);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Internetowa aktualizacja zapewniona w języku polskim;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Wbudowana zapora internetowa (firewall) dla ochrony połączeń internetowych; zintegrowana z systemem konsola do zarządzania ustawieniami zapory i regułami IP v4 i v6;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Zlokalizowane w języku polskim, co najmniej następujące elementy: menu, odtwarzacz multimediów, pomoc, komunikaty systemowe;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Wsparcie dla większości powszechnie używanych urządzeń peryferyjnych (drukarek, urządzeń sieciowych, standardów USB, Plug &amp;Play, Wi-Fi)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Funkcjonalność automatycznej zmiany domyślnej drukarki w zależności od sieci, do której podłączony jest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lastRenderedPageBreak/>
              <w:t>komputer;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Interfejs użytkownika działający w trybie graficznym z elementami 3D, zintegrowana z interfejsem użytkownika interaktywna część pulpitu służącą do uruchamiania aplikacji, które użytkownik może dowolnie wymieniać i pobrać ze strony producenta.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zdalnej automatycznej instalacji, konfiguracji, administrowania oraz aktualizowania systemu;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 Zabezpieczony hasłem hierarchiczny dostęp do systemu, konta i profile użytkowników zarządzane zdalnie; praca systemu w trybie ochrony kont użytkowników.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 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Zintegrowane z systemem operacyjnym narzędzia zwalczające złośliwe oprogramowanie; aktualizacje dostępne u producenta nieodpłatnie bez ograniczeń czasowych.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Zintegrowany z systemem operacyjnym moduł synchronizacji komputera z urządzeniami zewnętrznymi.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Wbudowany system pomocy w języku polskim;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przystosowania stanowiska dla osób niepełnosprawnych (np. słabowidzących);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zarządzania stacją roboczą poprzez polityki – przez politykę rozumiemy zestaw reguł definiujących lub ograniczających funkcjonalność systemu lub aplikacji;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Wdrażanie IPSEC oparte na politykach – wdrażanie IPSEC oparte na zestawach reguł definiujących ustawienia zarządzanych w sposób centralny;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>-  Automatyczne występowanie i używanie (wystawianie) certyfikatów PKI X.509;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Wsparcie dla logowania przy pomocy </w:t>
            </w:r>
            <w:proofErr w:type="spellStart"/>
            <w:r w:rsidRPr="00A72205">
              <w:rPr>
                <w:rFonts w:asciiTheme="majorHAnsi" w:eastAsia="Calibri" w:hAnsiTheme="majorHAnsi" w:cstheme="majorHAnsi"/>
                <w:sz w:val="18"/>
              </w:rPr>
              <w:t>smartcard</w:t>
            </w:r>
            <w:proofErr w:type="spellEnd"/>
            <w:r w:rsidRPr="00A72205">
              <w:rPr>
                <w:rFonts w:asciiTheme="majorHAnsi" w:eastAsia="Calibri" w:hAnsiTheme="majorHAnsi" w:cstheme="majorHAnsi"/>
                <w:sz w:val="18"/>
              </w:rPr>
              <w:t xml:space="preserve">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Rozbudowane polityki bezpieczeństwa – polityki dla systemu operacyjnego i dla wskazanych aplikacji;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System posiada narzędzia służące do administracji, do wykonywania kopii zapasowych polityk i ich odtwarzania oraz generowania raportów z ustawień polityk;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Wsparcie dla Sun Java i .NET Framework 1.1 i 2.0 i 3.0 – możliwość uruchomienia aplikacji działających we wskazanych środowiskach;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uruchamiania interpretera poleceń;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Zdalna pomoc i współdzielenie aplikacji – możliwość zdalnego przejęcia sesji za logowanego użytkownika celem rozwiązania problemu z komputerem;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Rozwiązanie służące do automatycznego zbudowania obrazu systemu wraz z aplikacjami. Obraz systemu służyć ma do automatycznego upowszechnienia systemu operacyjnego inicjowanego i wykonywanego w całości poprzez sieć komputerową;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Rozwiązanie ma umożliwiające wdrożenie nowego obrazu poprzez zdalną instalację;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Graficzne środowisko instalacji i konfiguracji;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Transakcyjny system plików pozwalający na stosowanie przydziałów (ang. </w:t>
            </w:r>
            <w:proofErr w:type="spellStart"/>
            <w:r w:rsidRPr="00A72205">
              <w:rPr>
                <w:rFonts w:asciiTheme="majorHAnsi" w:eastAsia="Calibri" w:hAnsiTheme="majorHAnsi" w:cstheme="majorHAnsi"/>
                <w:sz w:val="18"/>
              </w:rPr>
              <w:t>quota</w:t>
            </w:r>
            <w:proofErr w:type="spellEnd"/>
            <w:r w:rsidRPr="00A72205">
              <w:rPr>
                <w:rFonts w:asciiTheme="majorHAnsi" w:eastAsia="Calibri" w:hAnsiTheme="majorHAnsi" w:cstheme="majorHAnsi"/>
                <w:sz w:val="18"/>
              </w:rPr>
              <w:t xml:space="preserve">) na dysku dla użytkowników oraz zapewniający większą niezawodność i pozwalający tworzyć kopie zapasowe;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Zarządzanie kontami użytkowników sieci oraz urządzeniami sieciowymi tj. drukarki, modemy, woluminy dyskowe, usługi katalogowe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Udostępnianie modemu;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 xml:space="preserve">-  Możliwość przywracania plików systemowych;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lastRenderedPageBreak/>
              <w:t xml:space="preserve">- 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 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>-  Możliwość blokowania lub dopuszczania dowolnych urządzeń peryferyjnych za pomocą polityk grupowych (np. przy użyciu numerów identyfikacyjnych sprzętu).</w:t>
            </w:r>
            <w:r w:rsidRPr="00A72205">
              <w:rPr>
                <w:rFonts w:asciiTheme="majorHAnsi" w:eastAsia="Calibri" w:hAnsiTheme="majorHAnsi" w:cstheme="majorHAnsi"/>
                <w:sz w:val="18"/>
              </w:rPr>
              <w:br/>
              <w:t>-  Do oferowanego sprzętu należy załączyć nośniki ze sterownikami</w:t>
            </w:r>
          </w:p>
        </w:tc>
        <w:tc>
          <w:tcPr>
            <w:tcW w:w="1336" w:type="pct"/>
          </w:tcPr>
          <w:p w:rsidR="00FF6EB3" w:rsidRPr="00A72205" w:rsidRDefault="00FF6EB3" w:rsidP="0018160F">
            <w:pPr>
              <w:autoSpaceDE w:val="0"/>
              <w:autoSpaceDN w:val="0"/>
              <w:spacing w:before="60" w:after="100" w:afterAutospacing="1"/>
              <w:rPr>
                <w:rFonts w:asciiTheme="majorHAnsi" w:hAnsiTheme="majorHAnsi" w:cstheme="majorHAnsi"/>
                <w:bCs/>
                <w:sz w:val="18"/>
                <w:lang w:eastAsia="pl-PL"/>
              </w:rPr>
            </w:pPr>
          </w:p>
        </w:tc>
      </w:tr>
      <w:tr w:rsidR="00FF6EB3" w:rsidRPr="00A72205" w:rsidTr="00FF6EB3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lastRenderedPageBreak/>
              <w:t>Projektor</w:t>
            </w:r>
            <w:r w:rsidRPr="00A72205"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t xml:space="preserve"> (1 szt.) 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Wskazać nazwę producenta, model oraz symbol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……………………</w:t>
            </w:r>
            <w:r w:rsidR="00BE59FD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 xml:space="preserve">                         CENA:</w:t>
            </w:r>
          </w:p>
          <w:p w:rsidR="00FF6EB3" w:rsidRPr="00A72205" w:rsidRDefault="00FF6EB3" w:rsidP="0018160F">
            <w:pPr>
              <w:autoSpaceDE w:val="0"/>
              <w:autoSpaceDN w:val="0"/>
              <w:ind w:right="-71"/>
              <w:rPr>
                <w:rFonts w:asciiTheme="majorHAnsi" w:hAnsiTheme="majorHAnsi" w:cstheme="majorHAnsi"/>
                <w:bCs/>
                <w:sz w:val="18"/>
                <w:lang w:val="en-US" w:eastAsia="pl-PL"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natężenie światła białego oraz barwnego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5.500 lumen – 3.700 lumen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rozdzielczość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1280x800, 16:10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kontrast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15000:1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lampa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300 W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żywotność lampy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Minimum 5000h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rozmiar projekcji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Minimum 50 cali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stosunek projekcji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1-,26 – 1,30:1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złącza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USB 2.0 (minimum 2 szt.), RS-232C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wejścia/wyjścia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sz w:val="18"/>
                <w:szCs w:val="18"/>
              </w:rPr>
            </w:pPr>
            <w:r w:rsidRPr="00FF6EB3">
              <w:rPr>
                <w:rFonts w:asciiTheme="minorHAnsi" w:hAnsiTheme="minorHAnsi"/>
                <w:sz w:val="18"/>
                <w:szCs w:val="18"/>
              </w:rPr>
              <w:t>HDMI (minimum 2 szt.), VGA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FF6EB3" w:rsidP="00FF6EB3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>Odległ</w:t>
            </w:r>
            <w:r w:rsidR="005B4BAA">
              <w:rPr>
                <w:rFonts w:asciiTheme="minorHAnsi" w:hAnsiTheme="minorHAnsi"/>
                <w:bCs/>
                <w:sz w:val="18"/>
                <w:szCs w:val="18"/>
              </w:rPr>
              <w:t>ość</w:t>
            </w:r>
            <w:r w:rsidRPr="00FF6EB3">
              <w:rPr>
                <w:rFonts w:asciiTheme="minorHAnsi" w:hAnsiTheme="minorHAnsi"/>
                <w:bCs/>
                <w:sz w:val="18"/>
                <w:szCs w:val="18"/>
              </w:rPr>
              <w:t xml:space="preserve"> od ekranu</w:t>
            </w:r>
          </w:p>
        </w:tc>
        <w:tc>
          <w:tcPr>
            <w:tcW w:w="2607" w:type="pct"/>
            <w:gridSpan w:val="2"/>
          </w:tcPr>
          <w:p w:rsidR="00FF6EB3" w:rsidRPr="00FF6EB3" w:rsidRDefault="00FF6EB3" w:rsidP="00FF6EB3">
            <w:pPr>
              <w:rPr>
                <w:rFonts w:asciiTheme="minorHAnsi" w:hAnsiTheme="minorHAnsi"/>
                <w:sz w:val="18"/>
                <w:szCs w:val="18"/>
              </w:rPr>
            </w:pPr>
            <w:r w:rsidRPr="00FF6EB3">
              <w:rPr>
                <w:rFonts w:asciiTheme="minorHAnsi" w:hAnsiTheme="minorHAnsi"/>
                <w:sz w:val="18"/>
                <w:szCs w:val="18"/>
              </w:rPr>
              <w:t>1,40 - 15,00 m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FF6EB3">
            <w:pPr>
              <w:rPr>
                <w:bCs/>
              </w:rPr>
            </w:pPr>
          </w:p>
        </w:tc>
      </w:tr>
      <w:tr w:rsidR="00FF6EB3" w:rsidRPr="00A72205" w:rsidTr="0018160F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t>Ekran</w:t>
            </w:r>
            <w:r w:rsidR="00DA09D4"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t xml:space="preserve"> elektryczny z obramowaniem</w:t>
            </w:r>
            <w:r w:rsidRPr="00A72205"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  <w:t xml:space="preserve"> (1 szt.) 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Wskazać nazwę producenta, model oraz symbol</w:t>
            </w: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</w:p>
          <w:p w:rsidR="00FF6EB3" w:rsidRPr="00A72205" w:rsidRDefault="00FF6EB3" w:rsidP="0018160F">
            <w:pPr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</w:pPr>
            <w:r w:rsidRPr="00A72205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>……………………</w:t>
            </w:r>
            <w:r w:rsidR="00BE59FD">
              <w:rPr>
                <w:rFonts w:asciiTheme="majorHAnsi" w:hAnsiTheme="majorHAnsi" w:cstheme="majorHAnsi"/>
                <w:b/>
                <w:sz w:val="18"/>
                <w:szCs w:val="26"/>
                <w:lang w:eastAsia="pl-PL"/>
              </w:rPr>
              <w:t xml:space="preserve">                           CENA:</w:t>
            </w:r>
            <w:bookmarkStart w:id="1" w:name="_GoBack"/>
            <w:bookmarkEnd w:id="1"/>
          </w:p>
          <w:p w:rsidR="00FF6EB3" w:rsidRPr="00A72205" w:rsidRDefault="00FF6EB3" w:rsidP="0018160F">
            <w:pPr>
              <w:autoSpaceDE w:val="0"/>
              <w:autoSpaceDN w:val="0"/>
              <w:ind w:right="-71"/>
              <w:rPr>
                <w:rFonts w:asciiTheme="majorHAnsi" w:hAnsiTheme="majorHAnsi" w:cstheme="majorHAnsi"/>
                <w:bCs/>
                <w:sz w:val="18"/>
                <w:lang w:val="en-US" w:eastAsia="pl-PL"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Powierzchnia projekcyjna</w:t>
            </w:r>
          </w:p>
        </w:tc>
        <w:tc>
          <w:tcPr>
            <w:tcW w:w="2607" w:type="pct"/>
            <w:gridSpan w:val="2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Minimum 350x223 (szer. x wys.), Matt White P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18160F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Typ ekranu</w:t>
            </w:r>
          </w:p>
        </w:tc>
        <w:tc>
          <w:tcPr>
            <w:tcW w:w="2607" w:type="pct"/>
            <w:gridSpan w:val="2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elektryczny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18160F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Format obrazu</w:t>
            </w:r>
          </w:p>
        </w:tc>
        <w:tc>
          <w:tcPr>
            <w:tcW w:w="2607" w:type="pct"/>
            <w:gridSpan w:val="2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16:10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18160F">
            <w:pPr>
              <w:rPr>
                <w:bCs/>
              </w:rPr>
            </w:pPr>
          </w:p>
        </w:tc>
      </w:tr>
      <w:tr w:rsidR="00FF6EB3" w:rsidRPr="00FF6EB3" w:rsidTr="0018160F">
        <w:trPr>
          <w:trHeight w:val="284"/>
        </w:trPr>
        <w:tc>
          <w:tcPr>
            <w:tcW w:w="911" w:type="pct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Sposób montażu</w:t>
            </w:r>
          </w:p>
        </w:tc>
        <w:tc>
          <w:tcPr>
            <w:tcW w:w="2607" w:type="pct"/>
            <w:gridSpan w:val="2"/>
          </w:tcPr>
          <w:p w:rsidR="00FF6EB3" w:rsidRPr="00FF6EB3" w:rsidRDefault="00DA09D4" w:rsidP="0018160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Instalacja naścienna lub podsufitowa</w:t>
            </w:r>
          </w:p>
        </w:tc>
        <w:tc>
          <w:tcPr>
            <w:tcW w:w="1482" w:type="pct"/>
            <w:gridSpan w:val="2"/>
          </w:tcPr>
          <w:p w:rsidR="00FF6EB3" w:rsidRPr="00FF6EB3" w:rsidRDefault="00FF6EB3" w:rsidP="0018160F">
            <w:pPr>
              <w:rPr>
                <w:bCs/>
              </w:rPr>
            </w:pPr>
          </w:p>
        </w:tc>
      </w:tr>
    </w:tbl>
    <w:p w:rsidR="00253707" w:rsidRDefault="00253707"/>
    <w:sectPr w:rsidR="0025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003859"/>
    <w:rsid w:val="00221D85"/>
    <w:rsid w:val="00253707"/>
    <w:rsid w:val="002C4646"/>
    <w:rsid w:val="00416F0A"/>
    <w:rsid w:val="004A4041"/>
    <w:rsid w:val="005B4BAA"/>
    <w:rsid w:val="0086127E"/>
    <w:rsid w:val="00983707"/>
    <w:rsid w:val="00A8559A"/>
    <w:rsid w:val="00BE59FD"/>
    <w:rsid w:val="00C52E63"/>
    <w:rsid w:val="00D632EA"/>
    <w:rsid w:val="00DA09D4"/>
    <w:rsid w:val="00F96F3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25D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  <w:style w:type="table" w:styleId="Siatkatabelijasna">
    <w:name w:val="Grid Table Light"/>
    <w:basedOn w:val="Standardowy"/>
    <w:uiPriority w:val="40"/>
    <w:rsid w:val="00F96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Pliszczyńska</cp:lastModifiedBy>
  <cp:revision>7</cp:revision>
  <cp:lastPrinted>2018-07-30T08:32:00Z</cp:lastPrinted>
  <dcterms:created xsi:type="dcterms:W3CDTF">2018-07-30T08:29:00Z</dcterms:created>
  <dcterms:modified xsi:type="dcterms:W3CDTF">2018-08-27T08:54:00Z</dcterms:modified>
</cp:coreProperties>
</file>