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44B151D" w14:textId="00B48671" w:rsidR="009D539B" w:rsidRDefault="00A001A0" w:rsidP="00D61F24">
      <w:pPr>
        <w:shd w:val="clear" w:color="auto" w:fill="D9D9D9" w:themeFill="background1" w:themeFillShade="D9"/>
      </w:pPr>
      <w:r>
        <w:t>Wpis na stronę www</w:t>
      </w:r>
    </w:p>
    <w:p w14:paraId="1FDFC7BE" w14:textId="77777777" w:rsidR="009D539B" w:rsidRDefault="009D539B" w:rsidP="004A061F"/>
    <w:p w14:paraId="32BEFAC8" w14:textId="0B04B6D5" w:rsidR="00AA2908" w:rsidRPr="00AA2908" w:rsidRDefault="00AA2908" w:rsidP="00AA2908">
      <w:pPr>
        <w:spacing w:after="120"/>
        <w:jc w:val="both"/>
        <w:rPr>
          <w:rFonts w:cstheme="minorBidi"/>
          <w:b/>
          <w:bCs/>
        </w:rPr>
      </w:pPr>
      <w:r w:rsidRPr="00AA2908">
        <w:rPr>
          <w:rFonts w:cstheme="minorBidi"/>
          <w:b/>
          <w:bCs/>
        </w:rPr>
        <w:t>Zostały wyznaczone obszary rozwojowe MOFT i korytarze transportowe MOFT</w:t>
      </w:r>
    </w:p>
    <w:p w14:paraId="7F0A65D7" w14:textId="4B8B1C06" w:rsidR="00AA2908" w:rsidRDefault="00AA2908" w:rsidP="00AA2908">
      <w:pPr>
        <w:spacing w:after="120"/>
        <w:jc w:val="both"/>
        <w:rPr>
          <w:rFonts w:cstheme="minorBidi"/>
        </w:rPr>
      </w:pPr>
      <w:r>
        <w:rPr>
          <w:rFonts w:cstheme="minorBidi"/>
        </w:rPr>
        <w:t xml:space="preserve">Przestrzeń i sposób jej zagospodarowania ma kluczowe znaczenie dla budowy systemu transportowego, ale też dla mobilności czy jakości życia mieszkańców. </w:t>
      </w:r>
    </w:p>
    <w:p w14:paraId="4CF1DDFE" w14:textId="77F025F5" w:rsidR="00AA2908" w:rsidRDefault="00AA2908" w:rsidP="00AA2908">
      <w:pPr>
        <w:spacing w:after="120"/>
        <w:jc w:val="both"/>
        <w:rPr>
          <w:rFonts w:cstheme="minorBidi"/>
        </w:rPr>
      </w:pPr>
      <w:r>
        <w:rPr>
          <w:rFonts w:cstheme="minorBidi"/>
        </w:rPr>
        <w:t>SUMP dla MOFT</w:t>
      </w:r>
      <w:r>
        <w:rPr>
          <w:rFonts w:cstheme="minorBidi"/>
        </w:rPr>
        <w:t xml:space="preserve"> dotyczy bardzo dużego obszaru, pięciu powiatów, w tym 32 gmin, który jak cała Polska boryka się z konsekwencjami występowania różnego rodzaju zjawisk społeczno-gospodarczych, np. suburbanizacj</w:t>
      </w:r>
      <w:r>
        <w:rPr>
          <w:rFonts w:cstheme="minorBidi"/>
        </w:rPr>
        <w:t>i</w:t>
      </w:r>
      <w:r>
        <w:rPr>
          <w:rFonts w:cstheme="minorBidi"/>
        </w:rPr>
        <w:t>, czy niskie</w:t>
      </w:r>
      <w:r>
        <w:rPr>
          <w:rFonts w:cstheme="minorBidi"/>
        </w:rPr>
        <w:t>go</w:t>
      </w:r>
      <w:r>
        <w:rPr>
          <w:rFonts w:cstheme="minorBidi"/>
        </w:rPr>
        <w:t xml:space="preserve"> pokryci</w:t>
      </w:r>
      <w:r>
        <w:rPr>
          <w:rFonts w:cstheme="minorBidi"/>
        </w:rPr>
        <w:t>a</w:t>
      </w:r>
      <w:r>
        <w:rPr>
          <w:rFonts w:cstheme="minorBidi"/>
        </w:rPr>
        <w:t xml:space="preserve"> planami miejscowymi. </w:t>
      </w:r>
    </w:p>
    <w:p w14:paraId="75DE40E5" w14:textId="77777777" w:rsidR="00AA2908" w:rsidRDefault="00AA2908" w:rsidP="00AA2908">
      <w:pPr>
        <w:spacing w:after="120"/>
        <w:jc w:val="both"/>
        <w:rPr>
          <w:rFonts w:cstheme="minorBidi"/>
        </w:rPr>
      </w:pPr>
      <w:r>
        <w:rPr>
          <w:rFonts w:cstheme="minorBidi"/>
        </w:rPr>
        <w:t xml:space="preserve">Rozwój przestrzenny poszczególnych gmin należących do MOFT (ale nie tylko) jest dość swobodny, często nie do końca zaplanowany, związany z własnością gruntów i dowolnością w ich wykorzystaniu, właśnie z braku aktów prawa miejscowego jakimi są miejscowe plany zagospodarowania przestrzennego. </w:t>
      </w:r>
    </w:p>
    <w:p w14:paraId="6A6C9969" w14:textId="77777777" w:rsidR="00AA2908" w:rsidRDefault="00AA2908" w:rsidP="00AA2908">
      <w:pPr>
        <w:spacing w:after="120"/>
        <w:jc w:val="both"/>
        <w:rPr>
          <w:rFonts w:cstheme="minorBidi"/>
        </w:rPr>
      </w:pPr>
      <w:r>
        <w:rPr>
          <w:rFonts w:cstheme="minorBidi"/>
        </w:rPr>
        <w:t xml:space="preserve">System transportowy ma szansę działać wydajnie, jeżeli łączy ze sobą tereny intensywnie zagospodarowane, takie, z których korzysta wiele osób, co daje szansę na to, że i z tego systemu będzie korzystało wiele osób. Budowanie połączeń komunikacyjnych w miejscach, gdzie nie ma mieszkańców, jest oczywiście pozbawione sensu. </w:t>
      </w:r>
    </w:p>
    <w:p w14:paraId="634633AC" w14:textId="77777777" w:rsidR="00AA2908" w:rsidRDefault="00AA2908" w:rsidP="00AA2908">
      <w:pPr>
        <w:spacing w:after="120"/>
        <w:jc w:val="both"/>
        <w:rPr>
          <w:rFonts w:cstheme="minorBidi"/>
        </w:rPr>
      </w:pPr>
      <w:r>
        <w:rPr>
          <w:rFonts w:cstheme="minorBidi"/>
        </w:rPr>
        <w:t>Dlatego w ramach prac nad SUMP dla MOFT wyznaczono najpierw obszary rozwojowe, czyli te miejsca, które są najintensywniej wykorzystane dziś, lub będą wykorzystywane w niedalekiej przyszłości. Następnie połączono te obszary korytarzami transportowymi różnej rangi, określając jaka oferta przewozowa powinna zostać wypracowana w poszczególnych korytarzach, żeby miały one szansę działać efektywnie.</w:t>
      </w:r>
    </w:p>
    <w:p w14:paraId="17394838" w14:textId="77777777" w:rsidR="00AA2908" w:rsidRDefault="00AA2908" w:rsidP="00AA2908">
      <w:pPr>
        <w:spacing w:after="120"/>
        <w:jc w:val="both"/>
      </w:pPr>
      <w:r>
        <w:t xml:space="preserve">Na podstawie danych – zaczerpniętych z dokumentów planistycznych, ale także strategicznych i danych społeczno-gospodarczych, m.in. dot. gęstości zaludnienia poszczególnych gmin, czy też rozmieszczenia podmiotów gospodarczych, wyznaczono 5 kategorii obszarów rozwojowych MOFT. </w:t>
      </w:r>
    </w:p>
    <w:p w14:paraId="0B94540E" w14:textId="77777777" w:rsidR="00AA2908" w:rsidRPr="00953F85" w:rsidRDefault="00AA2908" w:rsidP="00AA2908">
      <w:pPr>
        <w:pStyle w:val="Akapitzlist"/>
        <w:numPr>
          <w:ilvl w:val="0"/>
          <w:numId w:val="7"/>
        </w:numPr>
        <w:spacing w:after="120" w:line="276" w:lineRule="auto"/>
        <w:jc w:val="both"/>
      </w:pPr>
      <w:r w:rsidRPr="00953F85">
        <w:rPr>
          <w:b/>
          <w:bCs/>
        </w:rPr>
        <w:t>Kategoria I</w:t>
      </w:r>
      <w:r w:rsidRPr="00953F85">
        <w:t xml:space="preserve"> – Toruń</w:t>
      </w:r>
      <w:r>
        <w:t xml:space="preserve"> – obszar najlepiej rozwinięty, rdzeń MOFT, regionalny obszar wzrostu, do którego ciążą sąsiednie gminy i powiaty – w ujęciu społecznym i gospodarczym;</w:t>
      </w:r>
    </w:p>
    <w:p w14:paraId="54694A0B" w14:textId="77777777" w:rsidR="00AA2908" w:rsidRDefault="00AA2908" w:rsidP="00AA2908">
      <w:pPr>
        <w:pStyle w:val="Akapitzlist"/>
        <w:numPr>
          <w:ilvl w:val="0"/>
          <w:numId w:val="7"/>
        </w:numPr>
        <w:spacing w:after="120" w:line="276" w:lineRule="auto"/>
        <w:jc w:val="both"/>
      </w:pPr>
      <w:r w:rsidRPr="00953F85">
        <w:rPr>
          <w:b/>
        </w:rPr>
        <w:t>Kategoria II</w:t>
      </w:r>
      <w:r w:rsidRPr="00953F85">
        <w:t xml:space="preserve"> – aglomeracja Torunia – </w:t>
      </w:r>
      <w:r>
        <w:t xml:space="preserve">obszar charakteryzujący się relatywnie </w:t>
      </w:r>
      <w:r w:rsidRPr="00953F85">
        <w:t>gęst</w:t>
      </w:r>
      <w:r>
        <w:t>ą</w:t>
      </w:r>
      <w:r w:rsidRPr="00953F85">
        <w:t xml:space="preserve"> zabudow</w:t>
      </w:r>
      <w:r>
        <w:t>ą</w:t>
      </w:r>
      <w:r w:rsidRPr="00953F85">
        <w:t xml:space="preserve">, </w:t>
      </w:r>
      <w:r>
        <w:t>silnymi</w:t>
      </w:r>
      <w:r w:rsidRPr="00953F85">
        <w:t xml:space="preserve"> powiązania</w:t>
      </w:r>
      <w:r>
        <w:t>mi</w:t>
      </w:r>
      <w:r w:rsidRPr="00953F85">
        <w:t xml:space="preserve"> społeczno-gospodarcz</w:t>
      </w:r>
      <w:r>
        <w:t>ymi</w:t>
      </w:r>
      <w:r w:rsidRPr="00953F85">
        <w:t xml:space="preserve"> z Toruniem (suburbanizacja)</w:t>
      </w:r>
      <w:r>
        <w:t>. Komunikacyjnie jest obsługiwany przez linie podmiejskie i regionalne na głównych ciągach komunikacyjnych;</w:t>
      </w:r>
    </w:p>
    <w:p w14:paraId="664A613C" w14:textId="77777777" w:rsidR="00AA2908" w:rsidRDefault="00AA2908" w:rsidP="00AA2908">
      <w:pPr>
        <w:pStyle w:val="Akapitzlist"/>
        <w:numPr>
          <w:ilvl w:val="0"/>
          <w:numId w:val="7"/>
        </w:numPr>
        <w:spacing w:after="120" w:line="276" w:lineRule="auto"/>
        <w:jc w:val="both"/>
      </w:pPr>
      <w:r w:rsidRPr="00953F85">
        <w:rPr>
          <w:b/>
          <w:bCs/>
        </w:rPr>
        <w:t>Kategoria III</w:t>
      </w:r>
      <w:r w:rsidRPr="00953F85">
        <w:t xml:space="preserve"> – kluczowe miasta MOFT – lokalne </w:t>
      </w:r>
      <w:r>
        <w:t>obszary</w:t>
      </w:r>
      <w:r w:rsidRPr="00953F85">
        <w:t xml:space="preserve"> </w:t>
      </w:r>
      <w:r>
        <w:t>wzrostu. Siła ich oddziaływania społeczno-gospodarczego dotyczy przede wszystkim gmin sąsiednich i należących do tych samych powiatów;</w:t>
      </w:r>
    </w:p>
    <w:p w14:paraId="4E812173" w14:textId="77777777" w:rsidR="00AA2908" w:rsidRPr="00953F85" w:rsidRDefault="00AA2908" w:rsidP="00AA2908">
      <w:pPr>
        <w:pStyle w:val="Akapitzlist"/>
        <w:numPr>
          <w:ilvl w:val="0"/>
          <w:numId w:val="7"/>
        </w:numPr>
        <w:spacing w:after="120" w:line="276" w:lineRule="auto"/>
        <w:jc w:val="both"/>
      </w:pPr>
      <w:r w:rsidRPr="00953F85">
        <w:rPr>
          <w:b/>
        </w:rPr>
        <w:t>Kategoria IV</w:t>
      </w:r>
      <w:r w:rsidRPr="00953F85">
        <w:t xml:space="preserve"> – obszary rozwinięte umiarkowanie, zlokalizowane przy ważnych dla MOFT szlakach komunikacyjnych, z potencjałem do dalszego rozwoju</w:t>
      </w:r>
      <w:r>
        <w:t>;</w:t>
      </w:r>
    </w:p>
    <w:p w14:paraId="4AED0CC6" w14:textId="77777777" w:rsidR="00AA2908" w:rsidRPr="00953F85" w:rsidRDefault="00AA2908" w:rsidP="00AA2908">
      <w:pPr>
        <w:pStyle w:val="Akapitzlist"/>
        <w:numPr>
          <w:ilvl w:val="0"/>
          <w:numId w:val="7"/>
        </w:numPr>
        <w:spacing w:after="120" w:line="276" w:lineRule="auto"/>
        <w:jc w:val="both"/>
      </w:pPr>
      <w:r w:rsidRPr="00953F85">
        <w:rPr>
          <w:b/>
        </w:rPr>
        <w:t>Pozostałe obszary</w:t>
      </w:r>
      <w:r w:rsidRPr="00953F85">
        <w:t xml:space="preserve"> – obszary relatywnie najsłabiej rozwinięte </w:t>
      </w:r>
      <w:r>
        <w:t>o</w:t>
      </w:r>
      <w:r w:rsidRPr="00953F85">
        <w:t xml:space="preserve"> mniejszym znaczeni</w:t>
      </w:r>
      <w:r>
        <w:t xml:space="preserve">u </w:t>
      </w:r>
      <w:r w:rsidRPr="00953F85">
        <w:t>dla MOFT.</w:t>
      </w:r>
    </w:p>
    <w:p w14:paraId="030FD329" w14:textId="7498EA10" w:rsidR="00AA2908" w:rsidRDefault="00AA2908" w:rsidP="00AA2908">
      <w:pPr>
        <w:pStyle w:val="NagwekRysunek"/>
      </w:pPr>
      <w:bookmarkStart w:id="0" w:name="_Toc141269380"/>
      <w:bookmarkStart w:id="1" w:name="_Toc141299718"/>
      <w:r>
        <w:lastRenderedPageBreak/>
        <w:t xml:space="preserve">Rysunek </w:t>
      </w:r>
      <w:r>
        <w:fldChar w:fldCharType="begin"/>
      </w:r>
      <w:r>
        <w:instrText xml:space="preserve"> SEQ Rysunek \* ARABIC </w:instrText>
      </w:r>
      <w:r>
        <w:fldChar w:fldCharType="separate"/>
      </w:r>
      <w:r>
        <w:rPr>
          <w:noProof/>
        </w:rPr>
        <w:t>1</w:t>
      </w:r>
      <w:r>
        <w:rPr>
          <w:noProof/>
        </w:rPr>
        <w:fldChar w:fldCharType="end"/>
      </w:r>
      <w:r>
        <w:t>. Obszary rozwojowe MOFT</w:t>
      </w:r>
      <w:bookmarkEnd w:id="0"/>
      <w:bookmarkEnd w:id="1"/>
    </w:p>
    <w:p w14:paraId="11248D76" w14:textId="77777777" w:rsidR="00AA2908" w:rsidRDefault="00AA2908" w:rsidP="00AA2908">
      <w:r>
        <w:rPr>
          <w:noProof/>
        </w:rPr>
        <w:drawing>
          <wp:inline distT="0" distB="0" distL="0" distR="0" wp14:anchorId="4D008996" wp14:editId="28AB10A4">
            <wp:extent cx="5759450" cy="6838950"/>
            <wp:effectExtent l="0" t="0" r="0" b="0"/>
            <wp:docPr id="1158810923" name="Obraz 1158810923" descr="Obraz zawierający tekst, mapa, atlas, zrzut ekranu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810923" name="Obraz 1158810923" descr="Obraz zawierający tekst, mapa, atlas, zrzut ekranu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683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5398DF" w14:textId="77777777" w:rsidR="00AA2908" w:rsidRPr="008F7E76" w:rsidRDefault="00AA2908" w:rsidP="00AA2908">
      <w:pPr>
        <w:pStyle w:val="Podpispodrysunkiem"/>
      </w:pPr>
      <w:r w:rsidRPr="008F7E76">
        <w:t xml:space="preserve">Źródło: opracowanie własne </w:t>
      </w:r>
    </w:p>
    <w:p w14:paraId="1C1C8BEA" w14:textId="77777777" w:rsidR="00AA2908" w:rsidRDefault="00AA2908" w:rsidP="00AA2908">
      <w:pPr>
        <w:rPr>
          <w:rFonts w:cstheme="minorBidi"/>
        </w:rPr>
      </w:pPr>
      <w:r>
        <w:rPr>
          <w:rFonts w:cstheme="minorBidi"/>
        </w:rPr>
        <w:t xml:space="preserve">W drugim kroku, do danych o obszarach rozwojowych dodano dane dot. głównych ciągów komunikacyjnych MOFT, obecnych i kluczowych dla jego przyszłego rozwoju, wyznaczając w ten sposób transportowe korytarze rozwojowe. </w:t>
      </w:r>
    </w:p>
    <w:p w14:paraId="0E304EE0" w14:textId="51B77C58" w:rsidR="00AA2908" w:rsidRDefault="00AA2908" w:rsidP="00AA2908">
      <w:pPr>
        <w:pStyle w:val="NagwekRysunek"/>
      </w:pPr>
      <w:bookmarkStart w:id="2" w:name="_Ref141200871"/>
      <w:bookmarkStart w:id="3" w:name="_Ref141200867"/>
      <w:bookmarkStart w:id="4" w:name="_Toc141269381"/>
      <w:bookmarkStart w:id="5" w:name="_Toc141299719"/>
      <w:r>
        <w:lastRenderedPageBreak/>
        <w:t xml:space="preserve">Rysunek </w:t>
      </w:r>
      <w:r>
        <w:fldChar w:fldCharType="begin"/>
      </w:r>
      <w:r>
        <w:instrText xml:space="preserve"> SEQ Rysunek \* ARABIC </w:instrText>
      </w:r>
      <w:r>
        <w:fldChar w:fldCharType="separate"/>
      </w:r>
      <w:r>
        <w:rPr>
          <w:noProof/>
        </w:rPr>
        <w:t>2</w:t>
      </w:r>
      <w:r>
        <w:rPr>
          <w:noProof/>
        </w:rPr>
        <w:fldChar w:fldCharType="end"/>
      </w:r>
      <w:bookmarkEnd w:id="2"/>
      <w:r>
        <w:t>. Korytarze transportowe w MOFT wraz z węzłami przesiadkowymi.</w:t>
      </w:r>
      <w:bookmarkEnd w:id="3"/>
      <w:bookmarkEnd w:id="4"/>
      <w:bookmarkEnd w:id="5"/>
      <w:r>
        <w:t xml:space="preserve"> </w:t>
      </w:r>
    </w:p>
    <w:p w14:paraId="6E4EAA0F" w14:textId="77777777" w:rsidR="00AA2908" w:rsidRPr="000E31C1" w:rsidRDefault="00AA2908" w:rsidP="00AA2908">
      <w:r>
        <w:rPr>
          <w:noProof/>
        </w:rPr>
        <w:drawing>
          <wp:inline distT="0" distB="0" distL="0" distR="0" wp14:anchorId="45AA328D" wp14:editId="2D62364C">
            <wp:extent cx="5760720" cy="7381240"/>
            <wp:effectExtent l="0" t="0" r="0" b="0"/>
            <wp:docPr id="292029679" name="Obraz 292029679" descr="Obraz zawierający tekst, mapa, atlas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029679" name="Obraz 1" descr="Obraz zawierający tekst, mapa, atlas&#10;&#10;Opis wygenerowany automatyczni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38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EF49D" w14:textId="77777777" w:rsidR="00AA2908" w:rsidRDefault="00AA2908" w:rsidP="00AA2908">
      <w:pPr>
        <w:pStyle w:val="Podpispodrysunkiem"/>
      </w:pPr>
      <w:r>
        <w:t xml:space="preserve">Źródło: Opracowanie własne. </w:t>
      </w:r>
    </w:p>
    <w:p w14:paraId="365B0BEB" w14:textId="77777777" w:rsidR="00AA2908" w:rsidRPr="00F225C0" w:rsidRDefault="00AA2908" w:rsidP="00AA2908">
      <w:pPr>
        <w:pStyle w:val="Akapitzlist"/>
        <w:numPr>
          <w:ilvl w:val="0"/>
          <w:numId w:val="7"/>
        </w:numPr>
        <w:spacing w:after="120" w:line="276" w:lineRule="auto"/>
        <w:jc w:val="both"/>
      </w:pPr>
      <w:r w:rsidRPr="00F225C0">
        <w:rPr>
          <w:b/>
          <w:bCs/>
        </w:rPr>
        <w:t xml:space="preserve">Kategoria I </w:t>
      </w:r>
      <w:r w:rsidRPr="00F225C0">
        <w:t>– korytarze priorytetowe – prowadzące wzdłuż DK/DW i LK. Łączące miasta powiatowe z Toruniem. Powinny charakteryzować się najlepszą ofertą przewozową</w:t>
      </w:r>
      <w:r>
        <w:t>;</w:t>
      </w:r>
    </w:p>
    <w:p w14:paraId="5DE50AE4" w14:textId="77777777" w:rsidR="00AA2908" w:rsidRPr="00F225C0" w:rsidRDefault="00AA2908" w:rsidP="00AA2908">
      <w:pPr>
        <w:pStyle w:val="Akapitzlist"/>
        <w:numPr>
          <w:ilvl w:val="0"/>
          <w:numId w:val="7"/>
        </w:numPr>
        <w:spacing w:after="120" w:line="276" w:lineRule="auto"/>
        <w:jc w:val="both"/>
      </w:pPr>
      <w:r w:rsidRPr="00F225C0">
        <w:rPr>
          <w:b/>
          <w:bCs/>
        </w:rPr>
        <w:t xml:space="preserve">Kategoria II </w:t>
      </w:r>
      <w:r w:rsidRPr="00F225C0">
        <w:t>– korytarze podstawowe – łączące miasta MOFT trasami alternatywnymi dla korytarzy priorytetowych i łączące mniejsze miasta z Toruniem</w:t>
      </w:r>
      <w:r>
        <w:t>;</w:t>
      </w:r>
    </w:p>
    <w:p w14:paraId="36DFA279" w14:textId="77777777" w:rsidR="00AA2908" w:rsidRPr="00F225C0" w:rsidRDefault="00AA2908" w:rsidP="00AA2908">
      <w:pPr>
        <w:pStyle w:val="Akapitzlist"/>
        <w:numPr>
          <w:ilvl w:val="0"/>
          <w:numId w:val="7"/>
        </w:numPr>
        <w:spacing w:after="120" w:line="276" w:lineRule="auto"/>
        <w:jc w:val="both"/>
        <w:rPr>
          <w:b/>
        </w:rPr>
      </w:pPr>
      <w:r w:rsidRPr="00F225C0">
        <w:rPr>
          <w:b/>
          <w:bCs/>
        </w:rPr>
        <w:lastRenderedPageBreak/>
        <w:t xml:space="preserve">Kategoria III </w:t>
      </w:r>
      <w:r w:rsidRPr="00F225C0">
        <w:t>– korytarze uzupełniające – łączą powiaty MOFT zapewniając obsługę gminom leżącym poza korytarzami priorytetowymi i podstawowymi.</w:t>
      </w:r>
    </w:p>
    <w:p w14:paraId="3C68C709" w14:textId="47D3B90A" w:rsidR="00AA2908" w:rsidRPr="00AA2908" w:rsidRDefault="00AA2908" w:rsidP="00AA2908">
      <w:pPr>
        <w:spacing w:after="120"/>
        <w:jc w:val="both"/>
        <w:rPr>
          <w:rFonts w:cstheme="minorBidi"/>
        </w:rPr>
      </w:pPr>
      <w:r w:rsidRPr="00AA2908">
        <w:rPr>
          <w:rFonts w:cstheme="minorBidi"/>
        </w:rPr>
        <w:t>Poza skategoryzowanymi korytarzami i węzłami przesiadkowymi, mogą, a nawet powinny funkcjonować uzupełniające, lokalne połączenia i węzły. Linie dowożące z mniejszych miejscowości do siedziby gmin czy stacji kolejowych, linie typowo szkolne, aglomeracyjne. Podobnie węzły przesiadkowe, umożliwiające np. sprawną przesiadkę z dowozowej, gminnej linii autobusowej na pociąg czy „korytarzową” lini</w:t>
      </w:r>
      <w:r>
        <w:rPr>
          <w:rFonts w:cstheme="minorBidi"/>
        </w:rPr>
        <w:t>ę</w:t>
      </w:r>
      <w:r w:rsidRPr="00AA2908">
        <w:rPr>
          <w:rFonts w:cstheme="minorBidi"/>
        </w:rPr>
        <w:t xml:space="preserve"> autobusową.</w:t>
      </w:r>
    </w:p>
    <w:p w14:paraId="1AA87E43" w14:textId="399D2885" w:rsidR="00AA2908" w:rsidRDefault="00AA2908" w:rsidP="00AA2908">
      <w:pPr>
        <w:spacing w:after="120"/>
        <w:jc w:val="both"/>
        <w:rPr>
          <w:rFonts w:cstheme="minorBidi"/>
        </w:rPr>
      </w:pPr>
      <w:r>
        <w:rPr>
          <w:rFonts w:cstheme="minorBidi"/>
        </w:rPr>
        <w:t>W celu osiągnięcia optymalnych rezultatów, działania zaplanowane do realizacji w ramach SUMP dla MOFT powinny być realizowane priorytetowo w ww. obszarach i korytarzach. Im wyższa kategoria korytarza i obszaru, tym działania powinny być bardziej intensywne, inwestycje powinny być realizowane priorytetowo i z większym natężeniem, a oferta przewozowa powinna być atrakcyjniejsza. Poza wyznaczonymi obszarami i korytarzami możliwa jest także realizacja określonych zadań, ale powinny one mieć bardziej charakter uzupełniający, np. służący dowiezieniu pasażerów do węzłów przesiadkowych na głównych korytarzach.</w:t>
      </w:r>
    </w:p>
    <w:p w14:paraId="2B187AFD" w14:textId="58538E77" w:rsidR="00A001A0" w:rsidRPr="00D97925" w:rsidRDefault="00A001A0" w:rsidP="00D61F24">
      <w:pPr>
        <w:shd w:val="clear" w:color="auto" w:fill="D9D9D9" w:themeFill="background1" w:themeFillShade="D9"/>
        <w:rPr>
          <w:b/>
          <w:bCs/>
        </w:rPr>
      </w:pPr>
      <w:r w:rsidRPr="00D97925">
        <w:rPr>
          <w:b/>
          <w:bCs/>
        </w:rPr>
        <w:t>Post na media społecznościowe</w:t>
      </w:r>
      <w:r w:rsidR="00AA2908">
        <w:rPr>
          <w:b/>
          <w:bCs/>
        </w:rPr>
        <w:t xml:space="preserve"> (tym razem bardziej w formie artykułu)</w:t>
      </w:r>
    </w:p>
    <w:p w14:paraId="0BA8FFEC" w14:textId="77777777" w:rsidR="00AA2908" w:rsidRDefault="00AA2908" w:rsidP="00AA2908">
      <w:pPr>
        <w:spacing w:after="120"/>
        <w:jc w:val="both"/>
        <w:rPr>
          <w:rFonts w:cstheme="minorBidi"/>
          <w:b/>
          <w:bCs/>
        </w:rPr>
      </w:pPr>
    </w:p>
    <w:p w14:paraId="6541308E" w14:textId="5E7A0F47" w:rsidR="00AA2908" w:rsidRPr="00AA2908" w:rsidRDefault="00AA2908" w:rsidP="00AA2908">
      <w:pPr>
        <w:spacing w:after="120"/>
        <w:jc w:val="both"/>
        <w:rPr>
          <w:rFonts w:cstheme="minorBidi"/>
          <w:b/>
          <w:bCs/>
        </w:rPr>
      </w:pPr>
      <w:r w:rsidRPr="00AA2908">
        <w:rPr>
          <w:rFonts w:cstheme="minorBidi"/>
          <w:b/>
          <w:bCs/>
        </w:rPr>
        <w:t xml:space="preserve">Zostały wyznaczone obszary rozwojowe </w:t>
      </w:r>
      <w:r>
        <w:rPr>
          <w:rFonts w:cstheme="minorBidi"/>
          <w:b/>
          <w:bCs/>
        </w:rPr>
        <w:t>#</w:t>
      </w:r>
      <w:r w:rsidRPr="00AA2908">
        <w:rPr>
          <w:rFonts w:cstheme="minorBidi"/>
          <w:b/>
          <w:bCs/>
        </w:rPr>
        <w:t xml:space="preserve">MOFT i korytarze transportowe </w:t>
      </w:r>
      <w:r>
        <w:rPr>
          <w:rFonts w:cstheme="minorBidi"/>
          <w:b/>
          <w:bCs/>
        </w:rPr>
        <w:t>#</w:t>
      </w:r>
      <w:r w:rsidRPr="00AA2908">
        <w:rPr>
          <w:rFonts w:cstheme="minorBidi"/>
          <w:b/>
          <w:bCs/>
        </w:rPr>
        <w:t>MOFT</w:t>
      </w:r>
    </w:p>
    <w:p w14:paraId="10F0ACB4" w14:textId="77777777" w:rsidR="00AA2908" w:rsidRDefault="00AA2908" w:rsidP="00AA2908">
      <w:pPr>
        <w:spacing w:after="120"/>
        <w:jc w:val="both"/>
        <w:rPr>
          <w:rFonts w:cstheme="minorBidi"/>
        </w:rPr>
      </w:pPr>
      <w:r>
        <w:rPr>
          <w:rFonts w:cstheme="minorBidi"/>
        </w:rPr>
        <w:t xml:space="preserve">Przestrzeń i sposób jej zagospodarowania ma kluczowe znaczenie dla budowy systemu transportowego, ale też dla mobilności czy jakości życia mieszkańców. </w:t>
      </w:r>
    </w:p>
    <w:p w14:paraId="7C1E2531" w14:textId="71337771" w:rsidR="00AA2908" w:rsidRDefault="00AA2908" w:rsidP="00AA2908">
      <w:pPr>
        <w:spacing w:after="120"/>
        <w:jc w:val="both"/>
        <w:rPr>
          <w:rFonts w:cstheme="minorBidi"/>
        </w:rPr>
      </w:pPr>
      <w:r>
        <w:rPr>
          <w:rFonts w:cstheme="minorBidi"/>
        </w:rPr>
        <w:t>#</w:t>
      </w:r>
      <w:r>
        <w:rPr>
          <w:rFonts w:cstheme="minorBidi"/>
        </w:rPr>
        <w:t xml:space="preserve">SUMP dla </w:t>
      </w:r>
      <w:r>
        <w:rPr>
          <w:rFonts w:cstheme="minorBidi"/>
        </w:rPr>
        <w:t>#</w:t>
      </w:r>
      <w:r>
        <w:rPr>
          <w:rFonts w:cstheme="minorBidi"/>
        </w:rPr>
        <w:t xml:space="preserve">MOFT dotyczy bardzo dużego obszaru, pięciu powiatów, w tym 32 gmin, który jak cała Polska boryka się z konsekwencjami występowania różnego rodzaju zjawisk społeczno-gospodarczych, np. suburbanizacji, czy niskiego pokrycia planami miejscowymi. </w:t>
      </w:r>
    </w:p>
    <w:p w14:paraId="2B85C4A9" w14:textId="77777777" w:rsidR="00AA2908" w:rsidRDefault="00AA2908" w:rsidP="00AA2908">
      <w:pPr>
        <w:spacing w:after="120"/>
        <w:jc w:val="both"/>
        <w:rPr>
          <w:rFonts w:cstheme="minorBidi"/>
        </w:rPr>
      </w:pPr>
      <w:r>
        <w:rPr>
          <w:rFonts w:cstheme="minorBidi"/>
        </w:rPr>
        <w:t xml:space="preserve">Rozwój przestrzenny poszczególnych gmin należących do MOFT (ale nie tylko) jest dość swobodny, często nie do końca zaplanowany, związany z własnością gruntów i dowolnością w ich wykorzystaniu, właśnie z braku aktów prawa miejscowego jakimi są miejscowe plany zagospodarowania przestrzennego. </w:t>
      </w:r>
    </w:p>
    <w:p w14:paraId="45D6449C" w14:textId="77777777" w:rsidR="00AA2908" w:rsidRDefault="00AA2908" w:rsidP="00AA2908">
      <w:pPr>
        <w:spacing w:after="120"/>
        <w:jc w:val="both"/>
        <w:rPr>
          <w:rFonts w:cstheme="minorBidi"/>
        </w:rPr>
      </w:pPr>
      <w:r>
        <w:rPr>
          <w:rFonts w:cstheme="minorBidi"/>
        </w:rPr>
        <w:t xml:space="preserve">System transportowy ma szansę działać wydajnie, jeżeli łączy ze sobą tereny intensywnie zagospodarowane, takie, z których korzysta wiele osób, co daje szansę na to, że i z tego systemu będzie korzystało wiele osób. Budowanie połączeń komunikacyjnych w miejscach, gdzie nie ma mieszkańców, jest oczywiście pozbawione sensu. </w:t>
      </w:r>
    </w:p>
    <w:p w14:paraId="4812FDDF" w14:textId="77777777" w:rsidR="00AA2908" w:rsidRDefault="00AA2908" w:rsidP="00AA2908">
      <w:pPr>
        <w:spacing w:after="120"/>
        <w:jc w:val="both"/>
        <w:rPr>
          <w:rFonts w:cstheme="minorBidi"/>
        </w:rPr>
      </w:pPr>
      <w:r>
        <w:rPr>
          <w:rFonts w:cstheme="minorBidi"/>
        </w:rPr>
        <w:t>Dlatego w ramach prac nad SUMP dla MOFT wyznaczono najpierw obszary rozwojowe, czyli te miejsca, które są najintensywniej wykorzystane dziś, lub będą wykorzystywane w niedalekiej przyszłości. Następnie połączono te obszary korytarzami transportowymi różnej rangi, określając jaka oferta przewozowa powinna zostać wypracowana w poszczególnych korytarzach, żeby miały one szansę działać efektywnie.</w:t>
      </w:r>
    </w:p>
    <w:p w14:paraId="1BA22EC1" w14:textId="77777777" w:rsidR="00AA2908" w:rsidRDefault="00AA2908" w:rsidP="00AA2908">
      <w:pPr>
        <w:spacing w:after="120"/>
        <w:jc w:val="both"/>
      </w:pPr>
      <w:r>
        <w:t xml:space="preserve">Na podstawie danych – zaczerpniętych z dokumentów planistycznych, ale także strategicznych i danych społeczno-gospodarczych, m.in. dot. gęstości zaludnienia poszczególnych gmin, czy też rozmieszczenia podmiotów gospodarczych, wyznaczono 5 kategorii obszarów rozwojowych MOFT. </w:t>
      </w:r>
    </w:p>
    <w:p w14:paraId="37E85451" w14:textId="77777777" w:rsidR="00AA2908" w:rsidRPr="00953F85" w:rsidRDefault="00AA2908" w:rsidP="00AA2908">
      <w:pPr>
        <w:pStyle w:val="Akapitzlist"/>
        <w:numPr>
          <w:ilvl w:val="0"/>
          <w:numId w:val="7"/>
        </w:numPr>
        <w:spacing w:after="120" w:line="276" w:lineRule="auto"/>
        <w:jc w:val="both"/>
      </w:pPr>
      <w:r w:rsidRPr="00953F85">
        <w:rPr>
          <w:b/>
          <w:bCs/>
        </w:rPr>
        <w:t>Kategoria I</w:t>
      </w:r>
      <w:r w:rsidRPr="00953F85">
        <w:t xml:space="preserve"> – Toruń</w:t>
      </w:r>
      <w:r>
        <w:t xml:space="preserve"> – obszar najlepiej rozwinięty, rdzeń MOFT, regionalny obszar wzrostu, do którego ciążą sąsiednie gminy i powiaty – w ujęciu społecznym i gospodarczym;</w:t>
      </w:r>
    </w:p>
    <w:p w14:paraId="66F775B9" w14:textId="77777777" w:rsidR="00AA2908" w:rsidRDefault="00AA2908" w:rsidP="00AA2908">
      <w:pPr>
        <w:pStyle w:val="Akapitzlist"/>
        <w:numPr>
          <w:ilvl w:val="0"/>
          <w:numId w:val="7"/>
        </w:numPr>
        <w:spacing w:after="120" w:line="276" w:lineRule="auto"/>
        <w:jc w:val="both"/>
      </w:pPr>
      <w:r w:rsidRPr="00953F85">
        <w:rPr>
          <w:b/>
        </w:rPr>
        <w:t>Kategoria II</w:t>
      </w:r>
      <w:r w:rsidRPr="00953F85">
        <w:t xml:space="preserve"> – aglomeracja Torunia – </w:t>
      </w:r>
      <w:r>
        <w:t xml:space="preserve">obszar charakteryzujący się relatywnie </w:t>
      </w:r>
      <w:r w:rsidRPr="00953F85">
        <w:t>gęst</w:t>
      </w:r>
      <w:r>
        <w:t>ą</w:t>
      </w:r>
      <w:r w:rsidRPr="00953F85">
        <w:t xml:space="preserve"> zabudow</w:t>
      </w:r>
      <w:r>
        <w:t>ą</w:t>
      </w:r>
      <w:r w:rsidRPr="00953F85">
        <w:t xml:space="preserve">, </w:t>
      </w:r>
      <w:r>
        <w:t>silnymi</w:t>
      </w:r>
      <w:r w:rsidRPr="00953F85">
        <w:t xml:space="preserve"> powiązania</w:t>
      </w:r>
      <w:r>
        <w:t>mi</w:t>
      </w:r>
      <w:r w:rsidRPr="00953F85">
        <w:t xml:space="preserve"> społeczno-gospodarcz</w:t>
      </w:r>
      <w:r>
        <w:t>ymi</w:t>
      </w:r>
      <w:r w:rsidRPr="00953F85">
        <w:t xml:space="preserve"> z Toruniem (suburbanizacja)</w:t>
      </w:r>
      <w:r>
        <w:t>. Komunikacyjnie jest obsługiwany przez linie podmiejskie i regionalne na głównych ciągach komunikacyjnych;</w:t>
      </w:r>
    </w:p>
    <w:p w14:paraId="3E6C334B" w14:textId="77777777" w:rsidR="00AA2908" w:rsidRDefault="00AA2908" w:rsidP="00AA2908">
      <w:pPr>
        <w:pStyle w:val="Akapitzlist"/>
        <w:numPr>
          <w:ilvl w:val="0"/>
          <w:numId w:val="7"/>
        </w:numPr>
        <w:spacing w:after="120" w:line="276" w:lineRule="auto"/>
        <w:jc w:val="both"/>
      </w:pPr>
      <w:r w:rsidRPr="00953F85">
        <w:rPr>
          <w:b/>
          <w:bCs/>
        </w:rPr>
        <w:lastRenderedPageBreak/>
        <w:t>Kategoria III</w:t>
      </w:r>
      <w:r w:rsidRPr="00953F85">
        <w:t xml:space="preserve"> – kluczowe miasta MOFT – lokalne </w:t>
      </w:r>
      <w:r>
        <w:t>obszary</w:t>
      </w:r>
      <w:r w:rsidRPr="00953F85">
        <w:t xml:space="preserve"> </w:t>
      </w:r>
      <w:r>
        <w:t>wzrostu. Siła ich oddziaływania społeczno-gospodarczego dotyczy przede wszystkim gmin sąsiednich i należących do tych samych powiatów;</w:t>
      </w:r>
    </w:p>
    <w:p w14:paraId="57F88C1A" w14:textId="77777777" w:rsidR="00AA2908" w:rsidRPr="00953F85" w:rsidRDefault="00AA2908" w:rsidP="00AA2908">
      <w:pPr>
        <w:pStyle w:val="Akapitzlist"/>
        <w:numPr>
          <w:ilvl w:val="0"/>
          <w:numId w:val="7"/>
        </w:numPr>
        <w:spacing w:after="120" w:line="276" w:lineRule="auto"/>
        <w:jc w:val="both"/>
      </w:pPr>
      <w:r w:rsidRPr="00953F85">
        <w:rPr>
          <w:b/>
        </w:rPr>
        <w:t>Kategoria IV</w:t>
      </w:r>
      <w:r w:rsidRPr="00953F85">
        <w:t xml:space="preserve"> – obszary rozwinięte umiarkowanie, zlokalizowane przy ważnych dla MOFT szlakach komunikacyjnych, z potencjałem do dalszego rozwoju</w:t>
      </w:r>
      <w:r>
        <w:t>;</w:t>
      </w:r>
    </w:p>
    <w:p w14:paraId="7523A2B3" w14:textId="77777777" w:rsidR="00AA2908" w:rsidRPr="00953F85" w:rsidRDefault="00AA2908" w:rsidP="00AA2908">
      <w:pPr>
        <w:pStyle w:val="Akapitzlist"/>
        <w:numPr>
          <w:ilvl w:val="0"/>
          <w:numId w:val="7"/>
        </w:numPr>
        <w:spacing w:after="120" w:line="276" w:lineRule="auto"/>
        <w:jc w:val="both"/>
      </w:pPr>
      <w:r w:rsidRPr="00953F85">
        <w:rPr>
          <w:b/>
        </w:rPr>
        <w:t>Pozostałe obszary</w:t>
      </w:r>
      <w:r w:rsidRPr="00953F85">
        <w:t xml:space="preserve"> – obszary relatywnie najsłabiej rozwinięte </w:t>
      </w:r>
      <w:r>
        <w:t>o</w:t>
      </w:r>
      <w:r w:rsidRPr="00953F85">
        <w:t xml:space="preserve"> mniejszym znaczeni</w:t>
      </w:r>
      <w:r>
        <w:t xml:space="preserve">u </w:t>
      </w:r>
      <w:r w:rsidRPr="00953F85">
        <w:t>dla MOFT.</w:t>
      </w:r>
    </w:p>
    <w:p w14:paraId="7325A463" w14:textId="77777777" w:rsidR="00AA2908" w:rsidRDefault="00AA2908" w:rsidP="00AA2908">
      <w:pPr>
        <w:pStyle w:val="NagwekRysunek"/>
      </w:pPr>
      <w:r>
        <w:t xml:space="preserve">Rysunek </w:t>
      </w:r>
      <w:r>
        <w:fldChar w:fldCharType="begin"/>
      </w:r>
      <w:r>
        <w:instrText xml:space="preserve"> SEQ Rysunek \* ARABIC </w:instrText>
      </w:r>
      <w:r>
        <w:fldChar w:fldCharType="separate"/>
      </w:r>
      <w:r>
        <w:rPr>
          <w:noProof/>
        </w:rPr>
        <w:t>1</w:t>
      </w:r>
      <w:r>
        <w:rPr>
          <w:noProof/>
        </w:rPr>
        <w:fldChar w:fldCharType="end"/>
      </w:r>
      <w:r>
        <w:t>. Obszary rozwojowe MOFT</w:t>
      </w:r>
    </w:p>
    <w:p w14:paraId="06205172" w14:textId="77777777" w:rsidR="00AA2908" w:rsidRDefault="00AA2908" w:rsidP="00AA2908">
      <w:r>
        <w:rPr>
          <w:noProof/>
        </w:rPr>
        <w:drawing>
          <wp:inline distT="0" distB="0" distL="0" distR="0" wp14:anchorId="6F091FF3" wp14:editId="4C1B9547">
            <wp:extent cx="5759450" cy="6838950"/>
            <wp:effectExtent l="0" t="0" r="0" b="0"/>
            <wp:docPr id="735314376" name="Obraz 735314376" descr="Obraz zawierający tekst, mapa, atlas, zrzut ekranu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810923" name="Obraz 1158810923" descr="Obraz zawierający tekst, mapa, atlas, zrzut ekranu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683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E1300C" w14:textId="77777777" w:rsidR="00AA2908" w:rsidRPr="008F7E76" w:rsidRDefault="00AA2908" w:rsidP="00AA2908">
      <w:pPr>
        <w:pStyle w:val="Podpispodrysunkiem"/>
      </w:pPr>
      <w:r w:rsidRPr="008F7E76">
        <w:t xml:space="preserve">Źródło: opracowanie własne </w:t>
      </w:r>
    </w:p>
    <w:p w14:paraId="79FD0796" w14:textId="77777777" w:rsidR="00AA2908" w:rsidRDefault="00AA2908" w:rsidP="00AA2908">
      <w:pPr>
        <w:rPr>
          <w:rFonts w:cstheme="minorBidi"/>
        </w:rPr>
      </w:pPr>
      <w:r>
        <w:rPr>
          <w:rFonts w:cstheme="minorBidi"/>
        </w:rPr>
        <w:lastRenderedPageBreak/>
        <w:t xml:space="preserve">W drugim kroku, do danych o obszarach rozwojowych dodano dane dot. głównych ciągów komunikacyjnych MOFT, obecnych i kluczowych dla jego przyszłego rozwoju, wyznaczając w ten sposób transportowe korytarze rozwojowe. </w:t>
      </w:r>
    </w:p>
    <w:p w14:paraId="7B18ED6A" w14:textId="77777777" w:rsidR="00AA2908" w:rsidRDefault="00AA2908" w:rsidP="00AA2908">
      <w:pPr>
        <w:pStyle w:val="NagwekRysunek"/>
      </w:pPr>
      <w:r>
        <w:t xml:space="preserve">Rysunek </w:t>
      </w:r>
      <w:r>
        <w:fldChar w:fldCharType="begin"/>
      </w:r>
      <w:r>
        <w:instrText xml:space="preserve"> SEQ Rysunek \* ARABIC </w:instrText>
      </w:r>
      <w:r>
        <w:fldChar w:fldCharType="separate"/>
      </w:r>
      <w:r>
        <w:rPr>
          <w:noProof/>
        </w:rPr>
        <w:t>2</w:t>
      </w:r>
      <w:r>
        <w:rPr>
          <w:noProof/>
        </w:rPr>
        <w:fldChar w:fldCharType="end"/>
      </w:r>
      <w:r>
        <w:t xml:space="preserve">. Korytarze transportowe w MOFT wraz z węzłami przesiadkowymi. </w:t>
      </w:r>
    </w:p>
    <w:p w14:paraId="0658F951" w14:textId="77777777" w:rsidR="00AA2908" w:rsidRPr="000E31C1" w:rsidRDefault="00AA2908" w:rsidP="00AA2908">
      <w:r>
        <w:rPr>
          <w:noProof/>
        </w:rPr>
        <w:drawing>
          <wp:inline distT="0" distB="0" distL="0" distR="0" wp14:anchorId="593AA320" wp14:editId="3990F6C4">
            <wp:extent cx="5760720" cy="7381240"/>
            <wp:effectExtent l="0" t="0" r="0" b="0"/>
            <wp:docPr id="350850634" name="Obraz 350850634" descr="Obraz zawierający tekst, mapa, atlas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029679" name="Obraz 1" descr="Obraz zawierający tekst, mapa, atlas&#10;&#10;Opis wygenerowany automatyczni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38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14B01" w14:textId="77777777" w:rsidR="00AA2908" w:rsidRDefault="00AA2908" w:rsidP="00AA2908">
      <w:pPr>
        <w:pStyle w:val="Podpispodrysunkiem"/>
      </w:pPr>
      <w:r>
        <w:t xml:space="preserve">Źródło: Opracowanie własne. </w:t>
      </w:r>
    </w:p>
    <w:p w14:paraId="15873025" w14:textId="77777777" w:rsidR="00AA2908" w:rsidRPr="00F225C0" w:rsidRDefault="00AA2908" w:rsidP="00AA2908">
      <w:pPr>
        <w:pStyle w:val="Akapitzlist"/>
        <w:numPr>
          <w:ilvl w:val="0"/>
          <w:numId w:val="7"/>
        </w:numPr>
        <w:spacing w:after="120" w:line="276" w:lineRule="auto"/>
        <w:jc w:val="both"/>
      </w:pPr>
      <w:r w:rsidRPr="00F225C0">
        <w:rPr>
          <w:b/>
          <w:bCs/>
        </w:rPr>
        <w:t xml:space="preserve">Kategoria I </w:t>
      </w:r>
      <w:r w:rsidRPr="00F225C0">
        <w:t>– korytarze priorytetowe – prowadzące wzdłuż DK/DW i LK. Łączące miasta powiatowe z Toruniem. Powinny charakteryzować się najlepszą ofertą przewozową</w:t>
      </w:r>
      <w:r>
        <w:t>;</w:t>
      </w:r>
    </w:p>
    <w:p w14:paraId="7E4EB98E" w14:textId="77777777" w:rsidR="00AA2908" w:rsidRPr="00F225C0" w:rsidRDefault="00AA2908" w:rsidP="00AA2908">
      <w:pPr>
        <w:pStyle w:val="Akapitzlist"/>
        <w:numPr>
          <w:ilvl w:val="0"/>
          <w:numId w:val="7"/>
        </w:numPr>
        <w:spacing w:after="120" w:line="276" w:lineRule="auto"/>
        <w:jc w:val="both"/>
      </w:pPr>
      <w:r w:rsidRPr="00F225C0">
        <w:rPr>
          <w:b/>
          <w:bCs/>
        </w:rPr>
        <w:lastRenderedPageBreak/>
        <w:t xml:space="preserve">Kategoria II </w:t>
      </w:r>
      <w:r w:rsidRPr="00F225C0">
        <w:t>– korytarze podstawowe – łączące miasta MOFT trasami alternatywnymi dla korytarzy priorytetowych i łączące mniejsze miasta z Toruniem</w:t>
      </w:r>
      <w:r>
        <w:t>;</w:t>
      </w:r>
    </w:p>
    <w:p w14:paraId="2D316CAE" w14:textId="77777777" w:rsidR="00AA2908" w:rsidRPr="00F225C0" w:rsidRDefault="00AA2908" w:rsidP="00AA2908">
      <w:pPr>
        <w:pStyle w:val="Akapitzlist"/>
        <w:numPr>
          <w:ilvl w:val="0"/>
          <w:numId w:val="7"/>
        </w:numPr>
        <w:spacing w:after="120" w:line="276" w:lineRule="auto"/>
        <w:jc w:val="both"/>
        <w:rPr>
          <w:b/>
        </w:rPr>
      </w:pPr>
      <w:r w:rsidRPr="00F225C0">
        <w:rPr>
          <w:b/>
          <w:bCs/>
        </w:rPr>
        <w:t xml:space="preserve">Kategoria III </w:t>
      </w:r>
      <w:r w:rsidRPr="00F225C0">
        <w:t>– korytarze uzupełniające – łączą powiaty MOFT zapewniając obsługę gminom leżącym poza korytarzami priorytetowymi i podstawowymi.</w:t>
      </w:r>
    </w:p>
    <w:p w14:paraId="5C231EDC" w14:textId="77777777" w:rsidR="00AA2908" w:rsidRPr="00AA2908" w:rsidRDefault="00AA2908" w:rsidP="00AA2908">
      <w:pPr>
        <w:spacing w:after="120"/>
        <w:jc w:val="both"/>
        <w:rPr>
          <w:rFonts w:cstheme="minorBidi"/>
        </w:rPr>
      </w:pPr>
      <w:r w:rsidRPr="00AA2908">
        <w:rPr>
          <w:rFonts w:cstheme="minorBidi"/>
        </w:rPr>
        <w:t>Poza skategoryzowanymi korytarzami i węzłami przesiadkowymi, mogą, a nawet powinny funkcjonować uzupełniające, lokalne połączenia i węzły. Linie dowożące z mniejszych miejscowości do siedziby gmin czy stacji kolejowych, linie typowo szkolne, aglomeracyjne. Podobnie węzły przesiadkowe, umożliwiające np. sprawną przesiadkę z dowozowej, gminnej linii autobusowej na pociąg czy „korytarzową” lini</w:t>
      </w:r>
      <w:r>
        <w:rPr>
          <w:rFonts w:cstheme="minorBidi"/>
        </w:rPr>
        <w:t>ę</w:t>
      </w:r>
      <w:r w:rsidRPr="00AA2908">
        <w:rPr>
          <w:rFonts w:cstheme="minorBidi"/>
        </w:rPr>
        <w:t xml:space="preserve"> autobusową.</w:t>
      </w:r>
    </w:p>
    <w:p w14:paraId="4A63BAFC" w14:textId="77777777" w:rsidR="00AA2908" w:rsidRDefault="00AA2908" w:rsidP="00AA2908">
      <w:pPr>
        <w:spacing w:after="120"/>
        <w:jc w:val="both"/>
        <w:rPr>
          <w:rFonts w:cstheme="minorBidi"/>
        </w:rPr>
      </w:pPr>
      <w:r>
        <w:rPr>
          <w:rFonts w:cstheme="minorBidi"/>
        </w:rPr>
        <w:t>W celu osiągnięcia optymalnych rezultatów, działania zaplanowane do realizacji w ramach SUMP dla MOFT powinny być realizowane priorytetowo w ww. obszarach i korytarzach. Im wyższa kategoria korytarza i obszaru, tym działania powinny być bardziej intensywne, inwestycje powinny być realizowane priorytetowo i z większym natężeniem, a oferta przewozowa powinna być atrakcyjniejsza. Poza wyznaczonymi obszarami i korytarzami możliwa jest także realizacja określonych zadań, ale powinny one mieć bardziej charakter uzupełniający, np. służący dowiezieniu pasażerów do węzłów przesiadkowych na głównych korytarzach.</w:t>
      </w:r>
    </w:p>
    <w:p w14:paraId="4A01B5E7" w14:textId="77777777" w:rsidR="00A001A0" w:rsidRDefault="00A001A0" w:rsidP="004A061F"/>
    <w:sectPr w:rsidR="00A001A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A5CC3AD" w14:textId="77777777" w:rsidR="00113C16" w:rsidRDefault="00113C16" w:rsidP="00447045">
      <w:r>
        <w:separator/>
      </w:r>
    </w:p>
  </w:endnote>
  <w:endnote w:type="continuationSeparator" w:id="0">
    <w:p w14:paraId="71E3C358" w14:textId="77777777" w:rsidR="00113C16" w:rsidRDefault="00113C16" w:rsidP="0044704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84DA63C" w14:textId="77777777" w:rsidR="00113C16" w:rsidRDefault="00113C16" w:rsidP="00447045">
      <w:r>
        <w:separator/>
      </w:r>
    </w:p>
  </w:footnote>
  <w:footnote w:type="continuationSeparator" w:id="0">
    <w:p w14:paraId="348078FF" w14:textId="77777777" w:rsidR="00113C16" w:rsidRDefault="00113C16" w:rsidP="0044704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5EC3EE4"/>
    <w:multiLevelType w:val="hybridMultilevel"/>
    <w:tmpl w:val="D22ECA00"/>
    <w:lvl w:ilvl="0" w:tplc="7A7A337A">
      <w:start w:val="1"/>
      <w:numFmt w:val="bullet"/>
      <w:lvlText w:val=""/>
      <w:lvlJc w:val="left"/>
      <w:pPr>
        <w:ind w:left="770" w:hanging="360"/>
      </w:pPr>
      <w:rPr>
        <w:rFonts w:ascii="Symbol" w:hAnsi="Symbol" w:hint="default"/>
        <w:sz w:val="20"/>
        <w:szCs w:val="22"/>
      </w:rPr>
    </w:lvl>
    <w:lvl w:ilvl="1" w:tplc="04150003" w:tentative="1">
      <w:start w:val="1"/>
      <w:numFmt w:val="bullet"/>
      <w:lvlText w:val="o"/>
      <w:lvlJc w:val="left"/>
      <w:pPr>
        <w:ind w:left="149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1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3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5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7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9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1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30" w:hanging="360"/>
      </w:pPr>
      <w:rPr>
        <w:rFonts w:ascii="Wingdings" w:hAnsi="Wingdings" w:hint="default"/>
      </w:rPr>
    </w:lvl>
  </w:abstractNum>
  <w:abstractNum w:abstractNumId="1" w15:restartNumberingAfterBreak="0">
    <w:nsid w:val="1F012E4D"/>
    <w:multiLevelType w:val="multilevel"/>
    <w:tmpl w:val="69FC75A0"/>
    <w:lvl w:ilvl="0">
      <w:start w:val="1"/>
      <w:numFmt w:val="decimal"/>
      <w:pStyle w:val="Nag1"/>
      <w:lvlText w:val="%1."/>
      <w:lvlJc w:val="left"/>
      <w:pPr>
        <w:ind w:left="360" w:hanging="360"/>
      </w:pPr>
      <w:rPr>
        <w:rFonts w:ascii="Arial" w:hAnsi="Arial" w:hint="default"/>
        <w:b/>
        <w:bCs w:val="0"/>
        <w:i w:val="0"/>
        <w:sz w:val="28"/>
      </w:rPr>
    </w:lvl>
    <w:lvl w:ilvl="1">
      <w:start w:val="1"/>
      <w:numFmt w:val="decimal"/>
      <w:pStyle w:val="Nag2"/>
      <w:lvlText w:val="%1.%2."/>
      <w:lvlJc w:val="left"/>
      <w:pPr>
        <w:ind w:left="792" w:hanging="432"/>
      </w:pPr>
      <w:rPr>
        <w:rFonts w:asciiTheme="minorHAnsi" w:hAnsiTheme="minorHAnsi" w:cstheme="minorHAnsi" w:hint="default"/>
      </w:rPr>
    </w:lvl>
    <w:lvl w:ilvl="2">
      <w:start w:val="1"/>
      <w:numFmt w:val="decimal"/>
      <w:pStyle w:val="Nag3"/>
      <w:lvlText w:val="%1.%2.%3."/>
      <w:lvlJc w:val="left"/>
      <w:pPr>
        <w:ind w:left="1224" w:hanging="504"/>
      </w:pPr>
      <w:rPr>
        <w:rFonts w:asciiTheme="minorHAnsi" w:hAnsiTheme="minorHAnsi" w:cstheme="minorHAnsi" w:hint="default"/>
      </w:rPr>
    </w:lvl>
    <w:lvl w:ilvl="3">
      <w:start w:val="1"/>
      <w:numFmt w:val="decimal"/>
      <w:pStyle w:val="Nag4"/>
      <w:lvlText w:val="%1.%2.%3.%4."/>
      <w:lvlJc w:val="left"/>
      <w:pPr>
        <w:ind w:left="1728" w:hanging="648"/>
      </w:pPr>
      <w:rPr>
        <w:rFonts w:asciiTheme="minorHAnsi" w:hAnsiTheme="minorHAnsi" w:cstheme="minorHAnsi"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" w15:restartNumberingAfterBreak="0">
    <w:nsid w:val="691B75D8"/>
    <w:multiLevelType w:val="hybridMultilevel"/>
    <w:tmpl w:val="5A22675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BAC6864"/>
    <w:multiLevelType w:val="hybridMultilevel"/>
    <w:tmpl w:val="0364656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25202997">
    <w:abstractNumId w:val="1"/>
  </w:num>
  <w:num w:numId="2" w16cid:durableId="75447894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67976908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67515191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2036468218">
    <w:abstractNumId w:val="3"/>
  </w:num>
  <w:num w:numId="6" w16cid:durableId="1291086877">
    <w:abstractNumId w:val="2"/>
  </w:num>
  <w:num w:numId="7" w16cid:durableId="209095409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A061F"/>
    <w:rsid w:val="000D1299"/>
    <w:rsid w:val="00113C16"/>
    <w:rsid w:val="001F0402"/>
    <w:rsid w:val="00264CB4"/>
    <w:rsid w:val="002A3F2B"/>
    <w:rsid w:val="002B2741"/>
    <w:rsid w:val="003D3F24"/>
    <w:rsid w:val="00433E22"/>
    <w:rsid w:val="00445A8A"/>
    <w:rsid w:val="00447045"/>
    <w:rsid w:val="004A061F"/>
    <w:rsid w:val="0057031F"/>
    <w:rsid w:val="005A19E9"/>
    <w:rsid w:val="00726352"/>
    <w:rsid w:val="007333B7"/>
    <w:rsid w:val="007967EA"/>
    <w:rsid w:val="00863879"/>
    <w:rsid w:val="00893932"/>
    <w:rsid w:val="008C3D36"/>
    <w:rsid w:val="00952276"/>
    <w:rsid w:val="009D539B"/>
    <w:rsid w:val="009E43C5"/>
    <w:rsid w:val="00A001A0"/>
    <w:rsid w:val="00A114C1"/>
    <w:rsid w:val="00A11CE1"/>
    <w:rsid w:val="00A570A4"/>
    <w:rsid w:val="00A9473F"/>
    <w:rsid w:val="00AA2908"/>
    <w:rsid w:val="00AB26EB"/>
    <w:rsid w:val="00AF1899"/>
    <w:rsid w:val="00B33DD8"/>
    <w:rsid w:val="00B36677"/>
    <w:rsid w:val="00C26E16"/>
    <w:rsid w:val="00C82AEE"/>
    <w:rsid w:val="00CA0F19"/>
    <w:rsid w:val="00CA308D"/>
    <w:rsid w:val="00CB4B39"/>
    <w:rsid w:val="00D414FB"/>
    <w:rsid w:val="00D61F24"/>
    <w:rsid w:val="00D80ED5"/>
    <w:rsid w:val="00D97925"/>
    <w:rsid w:val="00E33E40"/>
    <w:rsid w:val="00E350C6"/>
    <w:rsid w:val="00E46999"/>
    <w:rsid w:val="00EE7A06"/>
    <w:rsid w:val="00FD04CE"/>
    <w:rsid w:val="00FD73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86FD02B"/>
  <w15:chartTrackingRefBased/>
  <w15:docId w15:val="{E63661E0-6C74-43DE-AC7C-C5542FA112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 w:qFormat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 w:qFormat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4A061F"/>
    <w:pPr>
      <w:spacing w:after="0" w:line="240" w:lineRule="auto"/>
    </w:pPr>
    <w:rPr>
      <w:rFonts w:ascii="Calibri" w:hAnsi="Calibri" w:cs="Calibri"/>
      <w:kern w:val="0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445A8A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445A8A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445A8A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Poprawka">
    <w:name w:val="Revision"/>
    <w:hidden/>
    <w:uiPriority w:val="99"/>
    <w:semiHidden/>
    <w:rsid w:val="004A061F"/>
    <w:pPr>
      <w:spacing w:after="0" w:line="240" w:lineRule="auto"/>
    </w:pPr>
    <w:rPr>
      <w:rFonts w:ascii="Calibri" w:hAnsi="Calibri" w:cs="Calibri"/>
      <w:kern w:val="0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FD7321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FD7321"/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rsid w:val="00FD7321"/>
    <w:rPr>
      <w:rFonts w:ascii="Calibri" w:hAnsi="Calibri" w:cs="Calibri"/>
      <w:kern w:val="0"/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FD732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FD7321"/>
    <w:rPr>
      <w:rFonts w:ascii="Calibri" w:hAnsi="Calibri" w:cs="Calibri"/>
      <w:b/>
      <w:bCs/>
      <w:kern w:val="0"/>
      <w:sz w:val="20"/>
      <w:szCs w:val="20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447045"/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447045"/>
    <w:rPr>
      <w:rFonts w:ascii="Calibri" w:hAnsi="Calibri" w:cs="Calibri"/>
      <w:kern w:val="0"/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447045"/>
    <w:rPr>
      <w:vertAlign w:val="superscript"/>
    </w:rPr>
  </w:style>
  <w:style w:type="paragraph" w:customStyle="1" w:styleId="Nag1">
    <w:name w:val="Nag 1"/>
    <w:basedOn w:val="Nagwek1"/>
    <w:next w:val="Nag2"/>
    <w:autoRedefine/>
    <w:qFormat/>
    <w:rsid w:val="00445A8A"/>
    <w:pPr>
      <w:numPr>
        <w:numId w:val="1"/>
      </w:numPr>
      <w:tabs>
        <w:tab w:val="num" w:pos="360"/>
      </w:tabs>
      <w:spacing w:before="360" w:after="360" w:line="276" w:lineRule="auto"/>
      <w:ind w:left="0" w:firstLine="0"/>
      <w:jc w:val="both"/>
    </w:pPr>
    <w:rPr>
      <w:rFonts w:asciiTheme="minorHAnsi" w:eastAsia="Calibri" w:hAnsiTheme="minorHAnsi" w:cstheme="minorHAnsi"/>
      <w:b/>
      <w:color w:val="auto"/>
      <w:sz w:val="28"/>
      <w:szCs w:val="24"/>
      <w14:ligatures w14:val="none"/>
    </w:rPr>
  </w:style>
  <w:style w:type="paragraph" w:customStyle="1" w:styleId="Nag2">
    <w:name w:val="Nag 2"/>
    <w:basedOn w:val="Nagwek2"/>
    <w:next w:val="Nag3"/>
    <w:link w:val="Nag2Znak"/>
    <w:qFormat/>
    <w:rsid w:val="00445A8A"/>
    <w:pPr>
      <w:numPr>
        <w:ilvl w:val="1"/>
        <w:numId w:val="1"/>
      </w:numPr>
      <w:spacing w:before="240" w:after="240" w:line="276" w:lineRule="auto"/>
      <w:jc w:val="both"/>
    </w:pPr>
    <w:rPr>
      <w:rFonts w:ascii="Arial" w:eastAsia="Calibri" w:hAnsi="Arial" w:cs="Arial"/>
      <w:b/>
      <w:bCs/>
      <w:color w:val="auto"/>
      <w:sz w:val="24"/>
      <w:szCs w:val="22"/>
      <w14:ligatures w14:val="none"/>
    </w:rPr>
  </w:style>
  <w:style w:type="character" w:customStyle="1" w:styleId="Nag2Znak">
    <w:name w:val="Nag 2 Znak"/>
    <w:link w:val="Nag2"/>
    <w:rsid w:val="00445A8A"/>
    <w:rPr>
      <w:rFonts w:ascii="Arial" w:eastAsia="Calibri" w:hAnsi="Arial" w:cs="Arial"/>
      <w:b/>
      <w:bCs/>
      <w:kern w:val="0"/>
      <w:sz w:val="24"/>
      <w14:ligatures w14:val="none"/>
    </w:rPr>
  </w:style>
  <w:style w:type="paragraph" w:customStyle="1" w:styleId="Nag3">
    <w:name w:val="Nag 3"/>
    <w:basedOn w:val="Nagwek3"/>
    <w:next w:val="Nag4"/>
    <w:qFormat/>
    <w:rsid w:val="00445A8A"/>
    <w:pPr>
      <w:numPr>
        <w:ilvl w:val="2"/>
        <w:numId w:val="1"/>
      </w:numPr>
      <w:tabs>
        <w:tab w:val="num" w:pos="360"/>
      </w:tabs>
      <w:spacing w:before="200" w:after="240" w:line="276" w:lineRule="auto"/>
      <w:ind w:left="0" w:firstLine="0"/>
      <w:jc w:val="both"/>
    </w:pPr>
    <w:rPr>
      <w:rFonts w:ascii="Arial" w:hAnsi="Arial" w:cstheme="minorHAnsi"/>
      <w:b/>
      <w:color w:val="auto"/>
      <w:sz w:val="22"/>
      <w:szCs w:val="22"/>
      <w:lang w:eastAsia="de-DE"/>
      <w14:ligatures w14:val="none"/>
    </w:rPr>
  </w:style>
  <w:style w:type="paragraph" w:customStyle="1" w:styleId="Nag4">
    <w:name w:val="Nag 4"/>
    <w:basedOn w:val="Nag3"/>
    <w:qFormat/>
    <w:rsid w:val="00445A8A"/>
    <w:pPr>
      <w:numPr>
        <w:ilvl w:val="3"/>
      </w:numPr>
      <w:tabs>
        <w:tab w:val="num" w:pos="360"/>
      </w:tabs>
      <w:spacing w:before="120" w:after="120"/>
      <w:jc w:val="left"/>
    </w:pPr>
    <w:rPr>
      <w:rFonts w:cs="Arial"/>
    </w:rPr>
  </w:style>
  <w:style w:type="character" w:customStyle="1" w:styleId="Nagwek1Znak">
    <w:name w:val="Nagłówek 1 Znak"/>
    <w:basedOn w:val="Domylnaczcionkaakapitu"/>
    <w:link w:val="Nagwek1"/>
    <w:uiPriority w:val="9"/>
    <w:rsid w:val="00445A8A"/>
    <w:rPr>
      <w:rFonts w:asciiTheme="majorHAnsi" w:eastAsiaTheme="majorEastAsia" w:hAnsiTheme="majorHAnsi" w:cstheme="majorBidi"/>
      <w:color w:val="2F5496" w:themeColor="accent1" w:themeShade="BF"/>
      <w:kern w:val="0"/>
      <w:sz w:val="32"/>
      <w:szCs w:val="32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445A8A"/>
    <w:rPr>
      <w:rFonts w:asciiTheme="majorHAnsi" w:eastAsiaTheme="majorEastAsia" w:hAnsiTheme="majorHAnsi" w:cstheme="majorBidi"/>
      <w:color w:val="2F5496" w:themeColor="accent1" w:themeShade="BF"/>
      <w:kern w:val="0"/>
      <w:sz w:val="26"/>
      <w:szCs w:val="26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445A8A"/>
    <w:rPr>
      <w:rFonts w:asciiTheme="majorHAnsi" w:eastAsiaTheme="majorEastAsia" w:hAnsiTheme="majorHAnsi" w:cstheme="majorBidi"/>
      <w:color w:val="1F3763" w:themeColor="accent1" w:themeShade="7F"/>
      <w:kern w:val="0"/>
      <w:sz w:val="24"/>
      <w:szCs w:val="24"/>
    </w:rPr>
  </w:style>
  <w:style w:type="paragraph" w:styleId="Akapitzlist">
    <w:name w:val="List Paragraph"/>
    <w:aliases w:val="Normal,Numerowanie,Obiekt,List Paragraph1,BulletC,Akapit z listą1,normalny tekst,Akapit z listą3,Akapit z listą31,Wyliczanie,Bullets,Kolorowa lista — akcent 11,Akapit z listą11,normalny,Punktator,spot_jks,본문1,Wypunktowanie,List Paragraph"/>
    <w:basedOn w:val="Normalny"/>
    <w:link w:val="AkapitzlistZnak"/>
    <w:uiPriority w:val="34"/>
    <w:qFormat/>
    <w:rsid w:val="00433E22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AB26EB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AB26EB"/>
    <w:rPr>
      <w:color w:val="605E5C"/>
      <w:shd w:val="clear" w:color="auto" w:fill="E1DFDD"/>
    </w:rPr>
  </w:style>
  <w:style w:type="paragraph" w:styleId="Tekstprzypisudolnego">
    <w:name w:val="footnote text"/>
    <w:aliases w:val="Podrozdział,Tekst przypisu1,Tekst przypisu2,Tekst przypisu3,Przypis dolny,Footnote,Podrozdzia3,Tekst przypisu Znak Znak Znak Znak,Tekst przypisu Znak Znak Znak Znak Znak,Tekst przypisu Znak Znak Znak Znak Znak Znak Znak,Fußnote,fn"/>
    <w:basedOn w:val="Normalny"/>
    <w:link w:val="TekstprzypisudolnegoZnak"/>
    <w:uiPriority w:val="99"/>
    <w:unhideWhenUsed/>
    <w:qFormat/>
    <w:rsid w:val="00EE7A06"/>
    <w:pPr>
      <w:jc w:val="both"/>
    </w:pPr>
    <w:rPr>
      <w:rFonts w:asciiTheme="minorHAnsi" w:eastAsia="Times New Roman" w:hAnsiTheme="minorHAnsi" w:cs="Times New Roman"/>
      <w:sz w:val="18"/>
      <w:szCs w:val="18"/>
      <w:lang w:eastAsia="pl-PL"/>
      <w14:ligatures w14:val="none"/>
    </w:rPr>
  </w:style>
  <w:style w:type="character" w:customStyle="1" w:styleId="TekstprzypisudolnegoZnak">
    <w:name w:val="Tekst przypisu dolnego Znak"/>
    <w:aliases w:val="Podrozdział Znak,Tekst przypisu1 Znak,Tekst przypisu2 Znak,Tekst przypisu3 Znak,Przypis dolny Znak,Footnote Znak,Podrozdzia3 Znak,Tekst przypisu Znak Znak Znak Znak Znak1,Tekst przypisu Znak Znak Znak Znak Znak Znak,fn Znak"/>
    <w:basedOn w:val="Domylnaczcionkaakapitu"/>
    <w:link w:val="Tekstprzypisudolnego"/>
    <w:uiPriority w:val="99"/>
    <w:qFormat/>
    <w:rsid w:val="00EE7A06"/>
    <w:rPr>
      <w:rFonts w:eastAsia="Times New Roman" w:cs="Times New Roman"/>
      <w:kern w:val="0"/>
      <w:sz w:val="18"/>
      <w:szCs w:val="18"/>
      <w:lang w:eastAsia="pl-PL"/>
      <w14:ligatures w14:val="none"/>
    </w:rPr>
  </w:style>
  <w:style w:type="character" w:styleId="Odwoanieprzypisudolnego">
    <w:name w:val="footnote reference"/>
    <w:aliases w:val="Odwołanie przypisu1,Odwołanie przypisu2,Odwołanie przypisu,Footnote Reference Number,EN Footnote Reference,Times 10 Point,Exposant 3 Point,Footnote symbol,Footnote reference number,note TESI,fr,Odwo³anie przypisu,stylish,SUPER"/>
    <w:basedOn w:val="Domylnaczcionkaakapitu"/>
    <w:link w:val="FootnotesymbolCarZchn"/>
    <w:uiPriority w:val="99"/>
    <w:unhideWhenUsed/>
    <w:qFormat/>
    <w:rsid w:val="00EE7A06"/>
    <w:rPr>
      <w:vertAlign w:val="superscript"/>
    </w:rPr>
  </w:style>
  <w:style w:type="paragraph" w:customStyle="1" w:styleId="FootnotesymbolCarZchn">
    <w:name w:val="Footnote symbol Car Zchn"/>
    <w:aliases w:val="Footnote Car Zchn,Times 10 Point Car Zchn,Exposant 3 Point Car Zchn,Footnote Reference Superscript Car Zchn,Char Char Char Char Char Car Zchn,BVI fnr Car Zchn,SUPERS Car Zchn"/>
    <w:basedOn w:val="Normalny"/>
    <w:link w:val="Odwoanieprzypisudolnego"/>
    <w:uiPriority w:val="99"/>
    <w:rsid w:val="00EE7A06"/>
    <w:pPr>
      <w:spacing w:after="160" w:line="240" w:lineRule="exact"/>
      <w:jc w:val="both"/>
    </w:pPr>
    <w:rPr>
      <w:rFonts w:asciiTheme="minorHAnsi" w:hAnsiTheme="minorHAnsi" w:cstheme="minorBidi"/>
      <w:kern w:val="2"/>
      <w:vertAlign w:val="superscript"/>
    </w:rPr>
  </w:style>
  <w:style w:type="paragraph" w:customStyle="1" w:styleId="Podpispodrysunkiem">
    <w:name w:val="Podpis pod rysunkiem"/>
    <w:basedOn w:val="Normalny"/>
    <w:link w:val="PodpispodrysunkiemZnak"/>
    <w:autoRedefine/>
    <w:qFormat/>
    <w:rsid w:val="00B33DD8"/>
    <w:pPr>
      <w:spacing w:after="200" w:line="276" w:lineRule="auto"/>
      <w:jc w:val="both"/>
    </w:pPr>
    <w:rPr>
      <w:rFonts w:asciiTheme="minorHAnsi" w:eastAsia="Times New Roman" w:hAnsiTheme="minorHAnsi" w:cstheme="minorHAnsi"/>
      <w:iCs/>
      <w:color w:val="A6A6A6" w:themeColor="background1" w:themeShade="A6"/>
      <w:sz w:val="18"/>
      <w:szCs w:val="18"/>
      <w:lang w:eastAsia="pl-PL"/>
      <w14:ligatures w14:val="none"/>
    </w:rPr>
  </w:style>
  <w:style w:type="paragraph" w:customStyle="1" w:styleId="NagwekRysunek">
    <w:name w:val="Nagłówek Rysunek"/>
    <w:basedOn w:val="Legenda"/>
    <w:link w:val="NagwekRysunekZnak"/>
    <w:qFormat/>
    <w:rsid w:val="00B33DD8"/>
    <w:pPr>
      <w:keepNext/>
      <w:spacing w:before="200" w:after="0"/>
      <w:jc w:val="both"/>
    </w:pPr>
    <w:rPr>
      <w:rFonts w:asciiTheme="minorHAnsi" w:eastAsia="Times New Roman" w:hAnsiTheme="minorHAnsi" w:cs="Times New Roman"/>
      <w:b/>
      <w:bCs/>
      <w:i w:val="0"/>
      <w:iCs w:val="0"/>
      <w:color w:val="068AAD"/>
      <w:lang w:eastAsia="pl-PL"/>
      <w14:ligatures w14:val="none"/>
    </w:rPr>
  </w:style>
  <w:style w:type="character" w:customStyle="1" w:styleId="PodpispodrysunkiemZnak">
    <w:name w:val="Podpis pod rysunkiem Znak"/>
    <w:basedOn w:val="Domylnaczcionkaakapitu"/>
    <w:link w:val="Podpispodrysunkiem"/>
    <w:rsid w:val="00B33DD8"/>
    <w:rPr>
      <w:rFonts w:eastAsia="Times New Roman" w:cstheme="minorHAnsi"/>
      <w:iCs/>
      <w:color w:val="A6A6A6" w:themeColor="background1" w:themeShade="A6"/>
      <w:kern w:val="0"/>
      <w:sz w:val="18"/>
      <w:szCs w:val="18"/>
      <w:lang w:eastAsia="pl-PL"/>
      <w14:ligatures w14:val="none"/>
    </w:rPr>
  </w:style>
  <w:style w:type="character" w:customStyle="1" w:styleId="NagwekRysunekZnak">
    <w:name w:val="Nagłówek Rysunek Znak"/>
    <w:basedOn w:val="Domylnaczcionkaakapitu"/>
    <w:link w:val="NagwekRysunek"/>
    <w:rsid w:val="00B33DD8"/>
    <w:rPr>
      <w:rFonts w:eastAsia="Times New Roman" w:cs="Times New Roman"/>
      <w:b/>
      <w:bCs/>
      <w:color w:val="068AAD"/>
      <w:kern w:val="0"/>
      <w:sz w:val="18"/>
      <w:szCs w:val="18"/>
      <w:lang w:eastAsia="pl-PL"/>
      <w14:ligatures w14:val="none"/>
    </w:rPr>
  </w:style>
  <w:style w:type="paragraph" w:styleId="Legenda">
    <w:name w:val="caption"/>
    <w:basedOn w:val="Normalny"/>
    <w:next w:val="Normalny"/>
    <w:uiPriority w:val="35"/>
    <w:semiHidden/>
    <w:unhideWhenUsed/>
    <w:qFormat/>
    <w:rsid w:val="00B33DD8"/>
    <w:pPr>
      <w:spacing w:after="200"/>
    </w:pPr>
    <w:rPr>
      <w:i/>
      <w:iCs/>
      <w:color w:val="44546A" w:themeColor="text2"/>
      <w:sz w:val="18"/>
      <w:szCs w:val="18"/>
    </w:rPr>
  </w:style>
  <w:style w:type="character" w:customStyle="1" w:styleId="AkapitzlistZnak">
    <w:name w:val="Akapit z listą Znak"/>
    <w:aliases w:val="Normal Znak,Numerowanie Znak,Obiekt Znak,List Paragraph1 Znak,BulletC Znak,Akapit z listą1 Znak,normalny tekst Znak,Akapit z listą3 Znak,Akapit z listą31 Znak,Wyliczanie Znak,Bullets Znak,Kolorowa lista — akcent 11 Znak,normalny Znak"/>
    <w:link w:val="Akapitzlist"/>
    <w:uiPriority w:val="34"/>
    <w:qFormat/>
    <w:locked/>
    <w:rsid w:val="00AA2908"/>
    <w:rPr>
      <w:rFonts w:ascii="Calibri" w:hAnsi="Calibri" w:cs="Calibri"/>
      <w:kern w:val="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5294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315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11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7</Pages>
  <Words>1313</Words>
  <Characters>7880</Characters>
  <Application>Microsoft Office Word</Application>
  <DocSecurity>0</DocSecurity>
  <Lines>65</Lines>
  <Paragraphs>18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Chibowska, Adrianna</dc:creator>
  <cp:keywords/>
  <dc:description/>
  <cp:lastModifiedBy>Rawski, Jakub</cp:lastModifiedBy>
  <cp:revision>3</cp:revision>
  <dcterms:created xsi:type="dcterms:W3CDTF">2023-07-28T17:07:00Z</dcterms:created>
  <dcterms:modified xsi:type="dcterms:W3CDTF">2023-07-28T17:21:00Z</dcterms:modified>
</cp:coreProperties>
</file>